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Pr="0016665F" w:rsidRDefault="0088125E" w:rsidP="00076576">
      <w:pPr>
        <w:pStyle w:val="OnemliNot"/>
        <w:spacing w:before="0" w:line="276" w:lineRule="auto"/>
        <w:jc w:val="both"/>
        <w:rPr>
          <w:rFonts w:ascii="Calibri" w:hAnsi="Calibri" w:cs="Calibri"/>
          <w:b w:val="0"/>
          <w:i w:val="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RPr="0016665F" w:rsidTr="0016665F">
        <w:tc>
          <w:tcPr>
            <w:tcW w:w="10206" w:type="dxa"/>
            <w:shd w:val="clear" w:color="auto" w:fill="auto"/>
          </w:tcPr>
          <w:p w:rsidR="00A21C87" w:rsidRPr="0016665F" w:rsidRDefault="00A21C87" w:rsidP="0016665F">
            <w:pPr>
              <w:spacing w:line="276" w:lineRule="auto"/>
              <w:jc w:val="both"/>
              <w:rPr>
                <w:rFonts w:ascii="Calibri" w:hAnsi="Calibri" w:cs="Calibri"/>
                <w:b/>
                <w:sz w:val="22"/>
                <w:szCs w:val="22"/>
              </w:rPr>
            </w:pPr>
          </w:p>
          <w:p w:rsidR="003B69FD" w:rsidRPr="0016665F" w:rsidRDefault="009B3C28" w:rsidP="000A6AFF">
            <w:pPr>
              <w:spacing w:line="276" w:lineRule="auto"/>
              <w:jc w:val="both"/>
              <w:rPr>
                <w:rFonts w:ascii="Calibri" w:hAnsi="Calibri" w:cs="Calibri"/>
                <w:b/>
                <w:sz w:val="22"/>
                <w:szCs w:val="22"/>
              </w:rPr>
            </w:pPr>
            <w:r w:rsidRPr="0016665F">
              <w:rPr>
                <w:rFonts w:ascii="Calibri" w:hAnsi="Calibri" w:cs="Calibri"/>
                <w:b/>
                <w:sz w:val="22"/>
                <w:szCs w:val="22"/>
              </w:rPr>
              <w:t>Rotary Evaporator Cihazı</w:t>
            </w:r>
            <w:r w:rsidR="00A21C87" w:rsidRPr="0016665F">
              <w:rPr>
                <w:rFonts w:ascii="Calibri" w:hAnsi="Calibri" w:cs="Calibri"/>
                <w:b/>
                <w:sz w:val="22"/>
                <w:szCs w:val="22"/>
              </w:rPr>
              <w:t xml:space="preserve"> Numune Kabul Kriterleri</w:t>
            </w:r>
          </w:p>
          <w:p w:rsidR="00A21C87" w:rsidRPr="0016665F" w:rsidRDefault="00A21C87" w:rsidP="000A6AFF">
            <w:pPr>
              <w:spacing w:line="276" w:lineRule="auto"/>
              <w:jc w:val="both"/>
              <w:rPr>
                <w:rFonts w:ascii="Calibri" w:hAnsi="Calibri" w:cs="Calibri"/>
                <w:b/>
                <w:sz w:val="22"/>
                <w:szCs w:val="22"/>
              </w:rPr>
            </w:pPr>
          </w:p>
          <w:p w:rsidR="003B69FD" w:rsidRPr="0016665F" w:rsidRDefault="003B69FD" w:rsidP="000A6AFF">
            <w:pPr>
              <w:spacing w:line="276" w:lineRule="auto"/>
              <w:ind w:left="425" w:hanging="425"/>
              <w:jc w:val="both"/>
              <w:rPr>
                <w:rFonts w:ascii="Calibri" w:hAnsi="Calibri" w:cs="Calibri"/>
                <w:b/>
                <w:sz w:val="22"/>
                <w:szCs w:val="22"/>
              </w:rPr>
            </w:pPr>
            <w:r w:rsidRPr="0016665F">
              <w:rPr>
                <w:rFonts w:ascii="Calibri" w:hAnsi="Calibri" w:cs="Calibri"/>
                <w:b/>
                <w:sz w:val="22"/>
                <w:szCs w:val="22"/>
              </w:rPr>
              <w:t>A.</w:t>
            </w:r>
            <w:r w:rsidRPr="0016665F">
              <w:rPr>
                <w:rFonts w:ascii="Calibri" w:hAnsi="Calibri" w:cs="Calibri"/>
                <w:b/>
                <w:sz w:val="22"/>
                <w:szCs w:val="22"/>
              </w:rPr>
              <w:tab/>
              <w:t>Numunenin  Getiriliş Şekli ve Süresi</w:t>
            </w:r>
          </w:p>
          <w:p w:rsidR="003B69FD" w:rsidRPr="0016665F" w:rsidRDefault="003B69FD" w:rsidP="000A6AFF">
            <w:pPr>
              <w:spacing w:line="276" w:lineRule="auto"/>
              <w:jc w:val="both"/>
              <w:rPr>
                <w:rFonts w:ascii="Calibri" w:hAnsi="Calibri" w:cs="Calibri"/>
                <w:b/>
                <w:sz w:val="22"/>
                <w:szCs w:val="22"/>
              </w:rPr>
            </w:pPr>
          </w:p>
          <w:p w:rsidR="009B3C28" w:rsidRPr="0016665F" w:rsidRDefault="009B3C28" w:rsidP="000A6AFF">
            <w:pPr>
              <w:numPr>
                <w:ilvl w:val="0"/>
                <w:numId w:val="7"/>
              </w:numPr>
              <w:spacing w:line="276" w:lineRule="auto"/>
              <w:ind w:left="425" w:hanging="425"/>
              <w:jc w:val="both"/>
              <w:rPr>
                <w:rFonts w:ascii="Calibri" w:hAnsi="Calibri" w:cs="Calibri"/>
                <w:sz w:val="22"/>
                <w:szCs w:val="22"/>
              </w:rPr>
            </w:pPr>
            <w:r w:rsidRPr="0016665F">
              <w:rPr>
                <w:rFonts w:ascii="Calibri" w:hAnsi="Calibri" w:cs="Calibri"/>
                <w:sz w:val="22"/>
                <w:szCs w:val="22"/>
              </w:rPr>
              <w:t>Rotary evaporator cihazına getirilen numune çözünen ve çözücü maddelerden oluşur. Çözücünün uzaklaştırılması için bu yüzden müşteri çözücü maddenin ismini ve formülünü önceden araştırmalı ve numuneyi laboratuvara getirdiğinde çözücünün bilgilerini laboratuvar ve deney sorumlularına bildirmelidir.</w:t>
            </w:r>
          </w:p>
          <w:p w:rsidR="009B3C28" w:rsidRPr="0016665F" w:rsidRDefault="009B3C28" w:rsidP="000A6AFF">
            <w:pPr>
              <w:numPr>
                <w:ilvl w:val="0"/>
                <w:numId w:val="7"/>
              </w:numPr>
              <w:spacing w:line="276" w:lineRule="auto"/>
              <w:ind w:left="425" w:hanging="425"/>
              <w:jc w:val="both"/>
              <w:rPr>
                <w:rFonts w:ascii="Calibri" w:hAnsi="Calibri" w:cs="Calibri"/>
                <w:sz w:val="22"/>
                <w:szCs w:val="22"/>
              </w:rPr>
            </w:pPr>
            <w:r w:rsidRPr="0016665F">
              <w:rPr>
                <w:rFonts w:ascii="Calibri" w:hAnsi="Calibri" w:cs="Calibri"/>
                <w:sz w:val="22"/>
                <w:szCs w:val="22"/>
              </w:rPr>
              <w:t xml:space="preserve">Laboratuvar ve deney sorumlularının çevreye zararlı, kansorejen ve toksik çözücünün bulunduğu numuneyi  reddetme hakkı vardır. </w:t>
            </w:r>
          </w:p>
          <w:p w:rsidR="009B3C28" w:rsidRPr="0016665F" w:rsidRDefault="009B3C28" w:rsidP="000A6AFF">
            <w:pPr>
              <w:numPr>
                <w:ilvl w:val="0"/>
                <w:numId w:val="7"/>
              </w:numPr>
              <w:spacing w:line="276" w:lineRule="auto"/>
              <w:ind w:left="425" w:hanging="425"/>
              <w:jc w:val="both"/>
              <w:rPr>
                <w:rFonts w:ascii="Calibri" w:hAnsi="Calibri" w:cs="Calibri"/>
                <w:sz w:val="22"/>
                <w:szCs w:val="22"/>
              </w:rPr>
            </w:pPr>
            <w:r w:rsidRPr="0016665F">
              <w:rPr>
                <w:rFonts w:ascii="Calibri" w:hAnsi="Calibri" w:cs="Calibri"/>
                <w:sz w:val="22"/>
                <w:szCs w:val="22"/>
              </w:rPr>
              <w:t>Numunelerin MERLAB Moleküler Biyoloji Ve Biyoteknoloji Ar-Ge Merkezi’ne getirilmesine kadar geçen sürede muhafazasının sorumluluğu, müşteriye aittir.</w:t>
            </w:r>
          </w:p>
          <w:p w:rsidR="009B3C28" w:rsidRPr="0016665F" w:rsidRDefault="009B3C28" w:rsidP="000A6AFF">
            <w:pPr>
              <w:numPr>
                <w:ilvl w:val="0"/>
                <w:numId w:val="7"/>
              </w:numPr>
              <w:tabs>
                <w:tab w:val="left" w:pos="459"/>
                <w:tab w:val="left" w:pos="552"/>
              </w:tabs>
              <w:spacing w:line="276" w:lineRule="auto"/>
              <w:ind w:left="425" w:hanging="425"/>
              <w:jc w:val="both"/>
              <w:rPr>
                <w:rFonts w:ascii="Calibri" w:hAnsi="Calibri" w:cs="Calibri"/>
                <w:sz w:val="22"/>
                <w:szCs w:val="22"/>
              </w:rPr>
            </w:pPr>
            <w:r w:rsidRPr="0016665F">
              <w:rPr>
                <w:rFonts w:ascii="Calibri" w:hAnsi="Calibri" w:cs="Calibri"/>
                <w:sz w:val="22"/>
                <w:szCs w:val="22"/>
              </w:rPr>
              <w:t>Numunelerin özelliği bozulmadan, gerekiyorsa aynı gün içinde laboratuvara ulaştırılmalıdır.</w:t>
            </w:r>
          </w:p>
          <w:p w:rsidR="009B3C28" w:rsidRPr="0016665F" w:rsidRDefault="009B3C28" w:rsidP="000A6AFF">
            <w:pPr>
              <w:tabs>
                <w:tab w:val="left" w:pos="552"/>
                <w:tab w:val="left" w:pos="1152"/>
              </w:tabs>
              <w:spacing w:line="276" w:lineRule="auto"/>
              <w:jc w:val="both"/>
              <w:rPr>
                <w:rFonts w:ascii="Calibri" w:hAnsi="Calibri" w:cs="Calibri"/>
                <w:sz w:val="22"/>
                <w:szCs w:val="22"/>
              </w:rPr>
            </w:pPr>
          </w:p>
          <w:p w:rsidR="003B69FD" w:rsidRPr="0016665F" w:rsidRDefault="00FC5EDA" w:rsidP="000A6AFF">
            <w:pPr>
              <w:tabs>
                <w:tab w:val="left" w:pos="552"/>
                <w:tab w:val="left" w:pos="1152"/>
              </w:tabs>
              <w:spacing w:line="276" w:lineRule="auto"/>
              <w:jc w:val="both"/>
              <w:rPr>
                <w:rFonts w:ascii="Calibri" w:hAnsi="Calibri" w:cs="Calibri"/>
                <w:b/>
                <w:sz w:val="22"/>
                <w:szCs w:val="22"/>
              </w:rPr>
            </w:pPr>
            <w:r w:rsidRPr="0016665F">
              <w:rPr>
                <w:rFonts w:ascii="Calibri" w:hAnsi="Calibri" w:cs="Calibri"/>
                <w:b/>
                <w:sz w:val="22"/>
                <w:szCs w:val="22"/>
              </w:rPr>
              <w:t xml:space="preserve">B.     </w:t>
            </w:r>
            <w:r w:rsidR="003B69FD" w:rsidRPr="0016665F">
              <w:rPr>
                <w:rFonts w:ascii="Calibri" w:hAnsi="Calibri" w:cs="Calibri"/>
                <w:b/>
                <w:sz w:val="22"/>
                <w:szCs w:val="22"/>
              </w:rPr>
              <w:t>Ambalaj Şekli ve Numune Miktarı</w:t>
            </w:r>
          </w:p>
          <w:p w:rsidR="003B69FD" w:rsidRPr="0016665F" w:rsidRDefault="003B69FD" w:rsidP="000A6AFF">
            <w:pPr>
              <w:spacing w:line="276" w:lineRule="auto"/>
              <w:jc w:val="both"/>
              <w:rPr>
                <w:rFonts w:ascii="Calibri" w:hAnsi="Calibri" w:cs="Calibri"/>
                <w:b/>
                <w:sz w:val="22"/>
                <w:szCs w:val="22"/>
              </w:rPr>
            </w:pPr>
          </w:p>
          <w:p w:rsidR="009B3C28" w:rsidRPr="0016665F"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Numune temiz bir şişe içinde ağzı sıkıca kapalı olarak teslim edimelidir.</w:t>
            </w:r>
          </w:p>
          <w:p w:rsidR="009B3C28" w:rsidRPr="0016665F"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Eğer numune ışığa duyarlı ise numune kabı ışık geçirmeyen folyo ile kaplanmalıdır ve analiz boyunca numunenin ışıkla temas etmemesi gerektiği laboratuvar ve deney sorumlularına bildirilmelidir.</w:t>
            </w:r>
          </w:p>
          <w:p w:rsidR="009B3C28" w:rsidRPr="0016665F"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20, 50, 100, 250, 500 ve 1000ml hacimli numuneler ile bu cihazda çalışmak mümkündür.</w:t>
            </w:r>
          </w:p>
          <w:p w:rsidR="009B3C28" w:rsidRPr="0016665F"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Bir gün içinde Rotary Evaporator cihazı ile ancak 2 farklı numuneden  çözücü fazın uzaklaştırılması gerçekleştirilebilir.</w:t>
            </w:r>
          </w:p>
          <w:p w:rsidR="009B3C28"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Müşteri numuneden uzaklaştırılan çözücü maddeyi geri istiyorsa numuneyi teslim almaya geldiğinde yedek uygun hacimde bir şişe getirmelidir.</w:t>
            </w:r>
          </w:p>
          <w:p w:rsidR="000A6AFF" w:rsidRPr="000A6AFF" w:rsidRDefault="000A6AFF" w:rsidP="000A6AFF">
            <w:pPr>
              <w:numPr>
                <w:ilvl w:val="0"/>
                <w:numId w:val="8"/>
              </w:numPr>
              <w:spacing w:line="276" w:lineRule="auto"/>
              <w:ind w:left="425" w:hanging="425"/>
              <w:rPr>
                <w:rFonts w:ascii="Calibri" w:hAnsi="Calibri" w:cs="Calibri"/>
                <w:sz w:val="22"/>
                <w:szCs w:val="22"/>
              </w:rPr>
            </w:pPr>
            <w:r w:rsidRPr="000A6AFF">
              <w:rPr>
                <w:rFonts w:ascii="Calibri" w:eastAsia="Calibri" w:hAnsi="Calibri" w:cs="Calibri"/>
                <w:sz w:val="22"/>
                <w:szCs w:val="22"/>
              </w:rPr>
              <w:t>Numune ambalajları numuneyi açıklayacak bilgileri içeren etikete sahip olmalıdır. Numuneler 01’den başlanarak müşteri tarafından mutlaka kodlanmalıdır. Deney Raporunda sadece numune kodları belirtilecektir</w:t>
            </w:r>
          </w:p>
          <w:p w:rsidR="009B3C28" w:rsidRPr="0016665F" w:rsidRDefault="00486AD1" w:rsidP="000A6AFF">
            <w:pPr>
              <w:numPr>
                <w:ilvl w:val="0"/>
                <w:numId w:val="8"/>
              </w:numPr>
              <w:spacing w:line="276" w:lineRule="auto"/>
              <w:ind w:left="425" w:hanging="425"/>
              <w:jc w:val="both"/>
              <w:rPr>
                <w:rFonts w:ascii="Calibri" w:hAnsi="Calibri" w:cs="Calibri"/>
                <w:sz w:val="22"/>
                <w:szCs w:val="22"/>
              </w:rPr>
            </w:pPr>
            <w:r>
              <w:rPr>
                <w:rFonts w:ascii="Calibri" w:hAnsi="Calibri" w:cs="Calibri"/>
                <w:sz w:val="22"/>
                <w:szCs w:val="22"/>
              </w:rPr>
              <w:t>Deney</w:t>
            </w:r>
            <w:r w:rsidR="009B3C28" w:rsidRPr="0016665F">
              <w:rPr>
                <w:rFonts w:ascii="Calibri" w:hAnsi="Calibri" w:cs="Calibri"/>
                <w:sz w:val="22"/>
                <w:szCs w:val="22"/>
              </w:rPr>
              <w:t xml:space="preserve"> öncesi deney istek formu doldurulmuş olmalıdır ve numune ile birlikte getirilmelidir.</w:t>
            </w:r>
          </w:p>
          <w:p w:rsidR="009B3C28" w:rsidRPr="0016665F"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Tahmini analiz süresi  4-5 saattir.</w:t>
            </w:r>
          </w:p>
          <w:p w:rsidR="003B69FD" w:rsidRPr="0016665F" w:rsidRDefault="009B3C28" w:rsidP="000A6AFF">
            <w:pPr>
              <w:numPr>
                <w:ilvl w:val="0"/>
                <w:numId w:val="8"/>
              </w:numPr>
              <w:spacing w:line="276" w:lineRule="auto"/>
              <w:ind w:left="425" w:hanging="425"/>
              <w:jc w:val="both"/>
              <w:rPr>
                <w:rFonts w:ascii="Calibri" w:hAnsi="Calibri" w:cs="Calibri"/>
                <w:sz w:val="22"/>
                <w:szCs w:val="22"/>
              </w:rPr>
            </w:pPr>
            <w:r w:rsidRPr="0016665F">
              <w:rPr>
                <w:rFonts w:ascii="Calibri" w:hAnsi="Calibri" w:cs="Calibri"/>
                <w:sz w:val="22"/>
                <w:szCs w:val="22"/>
              </w:rPr>
              <w:t xml:space="preserve">İletişim için </w:t>
            </w:r>
            <w:hyperlink r:id="rId9" w:history="1">
              <w:r w:rsidRPr="0016665F">
                <w:rPr>
                  <w:rStyle w:val="Hyperlink"/>
                  <w:rFonts w:ascii="Calibri" w:hAnsi="Calibri" w:cs="Calibri"/>
                  <w:sz w:val="22"/>
                  <w:szCs w:val="22"/>
                </w:rPr>
                <w:t>mlabgkl@metu.edu.tr</w:t>
              </w:r>
            </w:hyperlink>
            <w:r w:rsidRPr="0016665F">
              <w:rPr>
                <w:rFonts w:ascii="Calibri" w:hAnsi="Calibri" w:cs="Calibri"/>
                <w:sz w:val="22"/>
                <w:szCs w:val="22"/>
              </w:rPr>
              <w:t xml:space="preserve"> adresi kullanılabilir.</w:t>
            </w:r>
          </w:p>
        </w:tc>
      </w:tr>
    </w:tbl>
    <w:p w:rsidR="00076576" w:rsidRPr="0016665F" w:rsidRDefault="00076576" w:rsidP="00076576">
      <w:pPr>
        <w:pStyle w:val="OnemliNot"/>
        <w:spacing w:before="0" w:line="276" w:lineRule="auto"/>
        <w:jc w:val="both"/>
        <w:rPr>
          <w:rFonts w:ascii="Calibri" w:hAnsi="Calibri" w:cs="Calibri"/>
          <w:b w:val="0"/>
          <w:i w:val="0"/>
          <w:sz w:val="22"/>
          <w:szCs w:val="22"/>
        </w:rPr>
      </w:pPr>
    </w:p>
    <w:p w:rsidR="00076576" w:rsidRPr="0016665F" w:rsidRDefault="00076576" w:rsidP="005523E4">
      <w:pPr>
        <w:spacing w:line="276" w:lineRule="auto"/>
        <w:jc w:val="both"/>
        <w:rPr>
          <w:rFonts w:ascii="Calibri" w:eastAsia="Calibri" w:hAnsi="Calibri" w:cs="Calibri"/>
          <w:sz w:val="22"/>
          <w:szCs w:val="22"/>
          <w:lang w:eastAsia="en-US"/>
        </w:rPr>
      </w:pPr>
    </w:p>
    <w:sectPr w:rsidR="00076576" w:rsidRPr="0016665F" w:rsidSect="0014514E">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87" w:rsidRDefault="00376287" w:rsidP="00390603">
      <w:r>
        <w:separator/>
      </w:r>
    </w:p>
  </w:endnote>
  <w:endnote w:type="continuationSeparator" w:id="0">
    <w:p w:rsidR="00376287" w:rsidRDefault="00376287"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altName w:val="Times New Roman"/>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5E" w:rsidRDefault="009A0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FD" w:rsidRPr="0014514E" w:rsidRDefault="003B69FD" w:rsidP="0014514E">
    <w:pPr>
      <w:pStyle w:val="OnemliNot"/>
      <w:spacing w:before="0"/>
      <w:rPr>
        <w:rFonts w:ascii="Calibri" w:hAnsi="Calibri" w:cs="Calibri"/>
        <w:b w:val="0"/>
        <w:i w:val="0"/>
        <w:sz w:val="18"/>
        <w:szCs w:val="18"/>
      </w:rPr>
    </w:pPr>
    <w:r>
      <w:rPr>
        <w:rFonts w:ascii="Calibri" w:hAnsi="Calibri" w:cs="Calibri"/>
        <w:b w:val="0"/>
        <w:i w:val="0"/>
        <w:sz w:val="18"/>
        <w:szCs w:val="18"/>
      </w:rPr>
      <w:t>FRM-MBB-</w:t>
    </w:r>
    <w:r w:rsidR="00AA1707">
      <w:rPr>
        <w:rFonts w:ascii="Calibri" w:hAnsi="Calibri" w:cs="Calibri"/>
        <w:b w:val="0"/>
        <w:i w:val="0"/>
        <w:sz w:val="18"/>
        <w:szCs w:val="18"/>
      </w:rPr>
      <w:t>GK</w:t>
    </w:r>
    <w:r>
      <w:rPr>
        <w:rFonts w:ascii="Calibri" w:hAnsi="Calibri" w:cs="Calibri"/>
        <w:b w:val="0"/>
        <w:i w:val="0"/>
        <w:sz w:val="18"/>
        <w:szCs w:val="18"/>
      </w:rPr>
      <w:t>L-</w:t>
    </w:r>
    <w:r w:rsidR="00152444">
      <w:rPr>
        <w:rFonts w:ascii="Calibri" w:hAnsi="Calibri" w:cs="Calibri"/>
        <w:b w:val="0"/>
        <w:i w:val="0"/>
        <w:sz w:val="18"/>
        <w:szCs w:val="18"/>
      </w:rPr>
      <w:t>18</w:t>
    </w:r>
    <w:r w:rsidRPr="00D51AD6">
      <w:rPr>
        <w:rFonts w:ascii="Calibri" w:hAnsi="Calibri" w:cs="Calibri"/>
        <w:b w:val="0"/>
        <w:i w:val="0"/>
        <w:sz w:val="18"/>
        <w:szCs w:val="18"/>
      </w:rPr>
      <w:t xml:space="preserve">    Rev</w:t>
    </w:r>
    <w:r>
      <w:rPr>
        <w:rFonts w:ascii="Calibri" w:hAnsi="Calibri" w:cs="Calibri"/>
        <w:b w:val="0"/>
        <w:i w:val="0"/>
        <w:sz w:val="18"/>
        <w:szCs w:val="18"/>
      </w:rPr>
      <w:t>.</w:t>
    </w:r>
    <w:r w:rsidRPr="00D51AD6">
      <w:rPr>
        <w:rFonts w:ascii="Calibri" w:hAnsi="Calibri" w:cs="Calibri"/>
        <w:b w:val="0"/>
        <w:i w:val="0"/>
        <w:sz w:val="18"/>
        <w:szCs w:val="18"/>
      </w:rPr>
      <w:t>No/Tarih: 0</w:t>
    </w:r>
    <w:r w:rsidR="00486AD1">
      <w:rPr>
        <w:rFonts w:ascii="Calibri" w:hAnsi="Calibri" w:cs="Calibri"/>
        <w:b w:val="0"/>
        <w:i w:val="0"/>
        <w:sz w:val="18"/>
        <w:szCs w:val="18"/>
      </w:rPr>
      <w:t>1/16.03.2015</w:t>
    </w:r>
    <w:r>
      <w:rPr>
        <w:rFonts w:ascii="Calibri" w:hAnsi="Calibri" w:cs="Calibri"/>
        <w:b w:val="0"/>
        <w:i w:val="0"/>
        <w:sz w:val="18"/>
        <w:szCs w:val="18"/>
      </w:rPr>
      <w:tab/>
    </w:r>
    <w:r w:rsidR="00486AD1">
      <w:rPr>
        <w:rFonts w:ascii="Calibri" w:hAnsi="Calibri" w:cs="Calibri"/>
        <w:b w:val="0"/>
        <w:i w:val="0"/>
        <w:sz w:val="18"/>
        <w:szCs w:val="18"/>
      </w:rPr>
      <w:tab/>
    </w:r>
    <w:r w:rsidR="00486AD1">
      <w:rPr>
        <w:rFonts w:ascii="Calibri" w:hAnsi="Calibri" w:cs="Calibri"/>
        <w:b w:val="0"/>
        <w:i w:val="0"/>
        <w:sz w:val="18"/>
        <w:szCs w:val="18"/>
      </w:rPr>
      <w:tab/>
    </w:r>
    <w:r w:rsidR="00486AD1">
      <w:rPr>
        <w:rFonts w:ascii="Calibri" w:hAnsi="Calibri" w:cs="Calibri"/>
        <w:b w:val="0"/>
        <w:i w:val="0"/>
        <w:sz w:val="18"/>
        <w:szCs w:val="18"/>
      </w:rPr>
      <w:tab/>
    </w:r>
    <w:r w:rsidR="00486AD1">
      <w:rPr>
        <w:rFonts w:ascii="Calibri" w:hAnsi="Calibri" w:cs="Calibri"/>
        <w:b w:val="0"/>
        <w:i w:val="0"/>
        <w:sz w:val="18"/>
        <w:szCs w:val="18"/>
      </w:rPr>
      <w:tab/>
    </w:r>
    <w:r w:rsidRPr="00D51AD6">
      <w:rPr>
        <w:rFonts w:ascii="Calibri" w:hAnsi="Calibri" w:cs="Calibri"/>
        <w:b w:val="0"/>
        <w:i w:val="0"/>
        <w:sz w:val="18"/>
        <w:szCs w:val="18"/>
      </w:rPr>
      <w:t xml:space="preserve">  </w:t>
    </w:r>
    <w:r w:rsidR="00486AD1">
      <w:rPr>
        <w:rFonts w:ascii="Calibri" w:hAnsi="Calibri" w:cs="Calibri"/>
        <w:b w:val="0"/>
        <w:i w:val="0"/>
        <w:sz w:val="18"/>
        <w:szCs w:val="18"/>
      </w:rPr>
      <w:t xml:space="preserve">                                                          </w:t>
    </w:r>
    <w:r w:rsidRPr="00D51AD6">
      <w:rPr>
        <w:rFonts w:ascii="Calibri" w:hAnsi="Calibri" w:cs="Calibri"/>
        <w:b w:val="0"/>
        <w:i w:val="0"/>
        <w:sz w:val="18"/>
        <w:szCs w:val="18"/>
      </w:rPr>
      <w:t xml:space="preserve"> </w:t>
    </w:r>
    <w:r w:rsidRPr="00D51AD6">
      <w:rPr>
        <w:rFonts w:ascii="Calibri" w:hAnsi="Calibri" w:cs="Calibri"/>
        <w:b w:val="0"/>
        <w:i w:val="0"/>
        <w:sz w:val="18"/>
        <w:szCs w:val="18"/>
      </w:rPr>
      <w:fldChar w:fldCharType="begin"/>
    </w:r>
    <w:r w:rsidRPr="00D51AD6">
      <w:rPr>
        <w:rFonts w:ascii="Calibri" w:hAnsi="Calibri" w:cs="Calibri"/>
        <w:b w:val="0"/>
        <w:i w:val="0"/>
        <w:sz w:val="18"/>
        <w:szCs w:val="18"/>
      </w:rPr>
      <w:instrText xml:space="preserve"> PAGE </w:instrText>
    </w:r>
    <w:r w:rsidRPr="00D51AD6">
      <w:rPr>
        <w:rFonts w:ascii="Calibri" w:hAnsi="Calibri" w:cs="Calibri"/>
        <w:b w:val="0"/>
        <w:i w:val="0"/>
        <w:sz w:val="18"/>
        <w:szCs w:val="18"/>
      </w:rPr>
      <w:fldChar w:fldCharType="separate"/>
    </w:r>
    <w:r w:rsidR="008F7DCA">
      <w:rPr>
        <w:rFonts w:ascii="Calibri" w:hAnsi="Calibri" w:cs="Calibri"/>
        <w:b w:val="0"/>
        <w:i w:val="0"/>
        <w:noProof/>
        <w:sz w:val="18"/>
        <w:szCs w:val="18"/>
      </w:rPr>
      <w:t>1</w:t>
    </w:r>
    <w:r w:rsidRPr="00D51AD6">
      <w:rPr>
        <w:rFonts w:ascii="Calibri" w:hAnsi="Calibri" w:cs="Calibri"/>
        <w:b w:val="0"/>
        <w:i w:val="0"/>
        <w:sz w:val="18"/>
        <w:szCs w:val="18"/>
      </w:rPr>
      <w:fldChar w:fldCharType="end"/>
    </w:r>
    <w:r w:rsidRPr="00D51AD6">
      <w:rPr>
        <w:rFonts w:ascii="Calibri" w:hAnsi="Calibri" w:cs="Calibri"/>
        <w:b w:val="0"/>
        <w:i w:val="0"/>
        <w:sz w:val="18"/>
        <w:szCs w:val="18"/>
      </w:rPr>
      <w:t>/</w:t>
    </w:r>
    <w:r w:rsidRPr="00D51AD6">
      <w:rPr>
        <w:rFonts w:ascii="Calibri" w:hAnsi="Calibri" w:cs="Calibri"/>
        <w:b w:val="0"/>
        <w:i w:val="0"/>
        <w:sz w:val="18"/>
        <w:szCs w:val="18"/>
      </w:rPr>
      <w:fldChar w:fldCharType="begin"/>
    </w:r>
    <w:r w:rsidRPr="00D51AD6">
      <w:rPr>
        <w:rFonts w:ascii="Calibri" w:hAnsi="Calibri" w:cs="Calibri"/>
        <w:b w:val="0"/>
        <w:i w:val="0"/>
        <w:sz w:val="18"/>
        <w:szCs w:val="18"/>
      </w:rPr>
      <w:instrText xml:space="preserve"> NUMPAGES  </w:instrText>
    </w:r>
    <w:r w:rsidRPr="00D51AD6">
      <w:rPr>
        <w:rFonts w:ascii="Calibri" w:hAnsi="Calibri" w:cs="Calibri"/>
        <w:b w:val="0"/>
        <w:i w:val="0"/>
        <w:sz w:val="18"/>
        <w:szCs w:val="18"/>
      </w:rPr>
      <w:fldChar w:fldCharType="separate"/>
    </w:r>
    <w:r w:rsidR="008F7DCA">
      <w:rPr>
        <w:rFonts w:ascii="Calibri" w:hAnsi="Calibri" w:cs="Calibri"/>
        <w:b w:val="0"/>
        <w:i w:val="0"/>
        <w:noProof/>
        <w:sz w:val="18"/>
        <w:szCs w:val="18"/>
      </w:rPr>
      <w:t>1</w:t>
    </w:r>
    <w:r w:rsidRPr="00D51AD6">
      <w:rPr>
        <w:rFonts w:ascii="Calibri" w:hAnsi="Calibri" w:cs="Calibri"/>
        <w:b w:val="0"/>
        <w:i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5E" w:rsidRDefault="009A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87" w:rsidRDefault="00376287" w:rsidP="00390603">
      <w:r>
        <w:separator/>
      </w:r>
    </w:p>
  </w:footnote>
  <w:footnote w:type="continuationSeparator" w:id="0">
    <w:p w:rsidR="00376287" w:rsidRDefault="00376287"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5E" w:rsidRDefault="009A0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93EC0" w:rsidP="00030E9A">
          <w:pPr>
            <w:pStyle w:val="MerkeziLab"/>
            <w:jc w:val="left"/>
            <w:rPr>
              <w:rFonts w:ascii="Calibri" w:hAnsi="Calibri" w:cs="Calibri"/>
              <w:b w:val="0"/>
              <w:sz w:val="16"/>
              <w:szCs w:val="16"/>
            </w:rPr>
          </w:pPr>
          <w:r>
            <w:rPr>
              <w:noProof/>
            </w:rPr>
            <w:drawing>
              <wp:anchor distT="0" distB="0" distL="114300" distR="114300" simplePos="0" relativeHeight="251657728" behindDoc="1" locked="0" layoutInCell="1" allowOverlap="1" wp14:anchorId="1DA37B60" wp14:editId="23C0CBA6">
                <wp:simplePos x="0" y="0"/>
                <wp:positionH relativeFrom="column">
                  <wp:posOffset>-36195</wp:posOffset>
                </wp:positionH>
                <wp:positionV relativeFrom="paragraph">
                  <wp:posOffset>6350</wp:posOffset>
                </wp:positionV>
                <wp:extent cx="1031240" cy="953770"/>
                <wp:effectExtent l="0" t="0" r="0" b="0"/>
                <wp:wrapSquare wrapText="bothSides"/>
                <wp:docPr id="1" name="Picture 0" descr="Description: 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9B3C28" w:rsidP="009B3C28">
          <w:pPr>
            <w:pStyle w:val="Baslik"/>
            <w:snapToGrid w:val="0"/>
            <w:spacing w:before="0" w:after="0"/>
            <w:rPr>
              <w:rFonts w:ascii="Calibri" w:hAnsi="Calibri" w:cs="Calibri"/>
              <w:i w:val="0"/>
              <w:sz w:val="28"/>
              <w:szCs w:val="28"/>
            </w:rPr>
          </w:pPr>
          <w:r w:rsidRPr="0016665F">
            <w:rPr>
              <w:rFonts w:ascii="Calibri" w:hAnsi="Calibri" w:cs="Calibri"/>
              <w:i w:val="0"/>
              <w:sz w:val="28"/>
              <w:szCs w:val="28"/>
            </w:rPr>
            <w:t>Genel Kullanım</w:t>
          </w:r>
          <w:r w:rsidR="00266430" w:rsidRPr="0016665F">
            <w:rPr>
              <w:rFonts w:ascii="Calibri" w:hAnsi="Calibri" w:cs="Calibri"/>
              <w:i w:val="0"/>
              <w:sz w:val="28"/>
              <w:szCs w:val="28"/>
            </w:rPr>
            <w:t xml:space="preserve"> </w:t>
          </w:r>
          <w:r w:rsidR="009A015E">
            <w:rPr>
              <w:rFonts w:ascii="Calibri" w:hAnsi="Calibri" w:cs="Calibri"/>
              <w:i w:val="0"/>
              <w:sz w:val="28"/>
              <w:szCs w:val="28"/>
            </w:rPr>
            <w:t xml:space="preserve">Ve Örnek Hazırlama </w:t>
          </w:r>
          <w:bookmarkStart w:id="0" w:name="_GoBack"/>
          <w:bookmarkEnd w:id="0"/>
          <w:r w:rsidR="00266430" w:rsidRPr="0016665F">
            <w:rPr>
              <w:rFonts w:ascii="Calibri" w:hAnsi="Calibri" w:cs="Calibri"/>
              <w:i w:val="0"/>
              <w:sz w:val="28"/>
              <w:szCs w:val="28"/>
            </w:rPr>
            <w:t xml:space="preserve">Laboratuvarı </w:t>
          </w:r>
          <w:r w:rsidRPr="0016665F">
            <w:rPr>
              <w:rFonts w:ascii="Calibri" w:hAnsi="Calibri" w:cs="Calibri"/>
              <w:i w:val="0"/>
              <w:sz w:val="28"/>
              <w:szCs w:val="28"/>
            </w:rPr>
            <w:t>Rotary Evaporator Cihazı</w:t>
          </w:r>
          <w:r w:rsidR="00266430" w:rsidRPr="0016665F">
            <w:rPr>
              <w:rFonts w:ascii="Calibri" w:hAnsi="Calibri" w:cs="Calibri"/>
              <w:i w:val="0"/>
              <w:sz w:val="28"/>
              <w:szCs w:val="28"/>
            </w:rPr>
            <w:t xml:space="preserve"> Numune Kabul Kriterleri</w:t>
          </w:r>
        </w:p>
      </w:tc>
    </w:tr>
  </w:tbl>
  <w:p w:rsidR="003B69FD" w:rsidRPr="0016665F" w:rsidRDefault="003B69FD" w:rsidP="00BA3401">
    <w:pPr>
      <w:pStyle w:val="Header"/>
      <w:rPr>
        <w:rFonts w:ascii="Calibri" w:hAnsi="Calibri" w:cs="Calibr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5E" w:rsidRDefault="009A0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E081D06"/>
    <w:multiLevelType w:val="hybridMultilevel"/>
    <w:tmpl w:val="1FFEA538"/>
    <w:lvl w:ilvl="0" w:tplc="E2F805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CE371CB"/>
    <w:multiLevelType w:val="hybridMultilevel"/>
    <w:tmpl w:val="42DA06D0"/>
    <w:lvl w:ilvl="0" w:tplc="CCF46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504BE"/>
    <w:rsid w:val="00061A1F"/>
    <w:rsid w:val="00071103"/>
    <w:rsid w:val="0007281F"/>
    <w:rsid w:val="00076576"/>
    <w:rsid w:val="00081077"/>
    <w:rsid w:val="000A4F94"/>
    <w:rsid w:val="000A6AFF"/>
    <w:rsid w:val="000C4532"/>
    <w:rsid w:val="0010348C"/>
    <w:rsid w:val="00141AF4"/>
    <w:rsid w:val="0014514E"/>
    <w:rsid w:val="00152444"/>
    <w:rsid w:val="00160FB0"/>
    <w:rsid w:val="0016665F"/>
    <w:rsid w:val="00184B42"/>
    <w:rsid w:val="001B1F01"/>
    <w:rsid w:val="001B66F7"/>
    <w:rsid w:val="001C4FEA"/>
    <w:rsid w:val="001D0B1E"/>
    <w:rsid w:val="001E759C"/>
    <w:rsid w:val="001F4721"/>
    <w:rsid w:val="001F5D53"/>
    <w:rsid w:val="0020082E"/>
    <w:rsid w:val="00202A25"/>
    <w:rsid w:val="00202BBE"/>
    <w:rsid w:val="00214B95"/>
    <w:rsid w:val="002600DD"/>
    <w:rsid w:val="00266430"/>
    <w:rsid w:val="00283BEC"/>
    <w:rsid w:val="002A14D3"/>
    <w:rsid w:val="002B01B3"/>
    <w:rsid w:val="003149A4"/>
    <w:rsid w:val="003250A4"/>
    <w:rsid w:val="0033159E"/>
    <w:rsid w:val="003431C0"/>
    <w:rsid w:val="003602A1"/>
    <w:rsid w:val="00365F18"/>
    <w:rsid w:val="00376287"/>
    <w:rsid w:val="00390603"/>
    <w:rsid w:val="00393EC0"/>
    <w:rsid w:val="003A485A"/>
    <w:rsid w:val="003B17A2"/>
    <w:rsid w:val="003B69FD"/>
    <w:rsid w:val="003C288F"/>
    <w:rsid w:val="00406549"/>
    <w:rsid w:val="00422DD8"/>
    <w:rsid w:val="00442897"/>
    <w:rsid w:val="00486AD1"/>
    <w:rsid w:val="004A6F34"/>
    <w:rsid w:val="004B0562"/>
    <w:rsid w:val="004B23EE"/>
    <w:rsid w:val="004C5F15"/>
    <w:rsid w:val="00533339"/>
    <w:rsid w:val="005523E4"/>
    <w:rsid w:val="005808C1"/>
    <w:rsid w:val="00591276"/>
    <w:rsid w:val="005C0DA5"/>
    <w:rsid w:val="005E09AF"/>
    <w:rsid w:val="0060505A"/>
    <w:rsid w:val="006164B5"/>
    <w:rsid w:val="006419F8"/>
    <w:rsid w:val="00655B69"/>
    <w:rsid w:val="006A126E"/>
    <w:rsid w:val="006A6CBE"/>
    <w:rsid w:val="006F136F"/>
    <w:rsid w:val="00710EB9"/>
    <w:rsid w:val="0072688F"/>
    <w:rsid w:val="00777193"/>
    <w:rsid w:val="0078782A"/>
    <w:rsid w:val="00796535"/>
    <w:rsid w:val="007A4179"/>
    <w:rsid w:val="007B0116"/>
    <w:rsid w:val="007C126B"/>
    <w:rsid w:val="007D13A7"/>
    <w:rsid w:val="007D3D0F"/>
    <w:rsid w:val="007D4C4A"/>
    <w:rsid w:val="007E2745"/>
    <w:rsid w:val="007F7CDD"/>
    <w:rsid w:val="008107F2"/>
    <w:rsid w:val="00813C9B"/>
    <w:rsid w:val="0084760C"/>
    <w:rsid w:val="0085604E"/>
    <w:rsid w:val="0086069A"/>
    <w:rsid w:val="0087459B"/>
    <w:rsid w:val="0087593B"/>
    <w:rsid w:val="0088125E"/>
    <w:rsid w:val="00893299"/>
    <w:rsid w:val="008A5957"/>
    <w:rsid w:val="008A7A08"/>
    <w:rsid w:val="008F7DCA"/>
    <w:rsid w:val="00931067"/>
    <w:rsid w:val="00942533"/>
    <w:rsid w:val="009458F4"/>
    <w:rsid w:val="009A015E"/>
    <w:rsid w:val="009B3C28"/>
    <w:rsid w:val="009E4DFC"/>
    <w:rsid w:val="00A023AA"/>
    <w:rsid w:val="00A2063E"/>
    <w:rsid w:val="00A21C87"/>
    <w:rsid w:val="00A27CAF"/>
    <w:rsid w:val="00A72A19"/>
    <w:rsid w:val="00AA1707"/>
    <w:rsid w:val="00AA39BF"/>
    <w:rsid w:val="00AC787C"/>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242A2"/>
    <w:rsid w:val="00C45033"/>
    <w:rsid w:val="00C65842"/>
    <w:rsid w:val="00C95265"/>
    <w:rsid w:val="00CB548E"/>
    <w:rsid w:val="00D02A06"/>
    <w:rsid w:val="00D166F8"/>
    <w:rsid w:val="00D27DC6"/>
    <w:rsid w:val="00D4044A"/>
    <w:rsid w:val="00D51AD6"/>
    <w:rsid w:val="00D6707F"/>
    <w:rsid w:val="00D8781F"/>
    <w:rsid w:val="00DA21E8"/>
    <w:rsid w:val="00DC3D16"/>
    <w:rsid w:val="00DE21D9"/>
    <w:rsid w:val="00DF0B96"/>
    <w:rsid w:val="00E4727D"/>
    <w:rsid w:val="00E76175"/>
    <w:rsid w:val="00E90EEA"/>
    <w:rsid w:val="00EA6EBF"/>
    <w:rsid w:val="00EC0E11"/>
    <w:rsid w:val="00EC199E"/>
    <w:rsid w:val="00ED558C"/>
    <w:rsid w:val="00EF6AB5"/>
    <w:rsid w:val="00F21F3A"/>
    <w:rsid w:val="00F42AA0"/>
    <w:rsid w:val="00F7736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kl@met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E408-8AC1-414D-97E1-3D72F8D4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1851</CharactersWithSpaces>
  <SharedDoc>false</SharedDoc>
  <HLinks>
    <vt:vector size="6" baseType="variant">
      <vt:variant>
        <vt:i4>6946843</vt:i4>
      </vt:variant>
      <vt:variant>
        <vt:i4>0</vt:i4>
      </vt:variant>
      <vt:variant>
        <vt:i4>0</vt:i4>
      </vt:variant>
      <vt:variant>
        <vt:i4>5</vt:i4>
      </vt:variant>
      <vt:variant>
        <vt:lpwstr>mailto:mlabgkl@metu.edu.tr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5</cp:revision>
  <cp:lastPrinted>2015-04-06T10:34:00Z</cp:lastPrinted>
  <dcterms:created xsi:type="dcterms:W3CDTF">2014-04-01T08:27:00Z</dcterms:created>
  <dcterms:modified xsi:type="dcterms:W3CDTF">2015-04-06T10:35:00Z</dcterms:modified>
</cp:coreProperties>
</file>