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25E" w:rsidRDefault="0088125E" w:rsidP="00076576">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076576" w:rsidTr="00D51AD6">
        <w:tc>
          <w:tcPr>
            <w:tcW w:w="10206" w:type="dxa"/>
          </w:tcPr>
          <w:p w:rsidR="00A21C87" w:rsidRDefault="00A21C87" w:rsidP="00A21C87">
            <w:pPr>
              <w:spacing w:line="276" w:lineRule="auto"/>
              <w:jc w:val="both"/>
              <w:rPr>
                <w:rFonts w:ascii="Calibri" w:hAnsi="Calibri" w:cs="Calibri"/>
                <w:b/>
                <w:sz w:val="22"/>
                <w:szCs w:val="22"/>
              </w:rPr>
            </w:pPr>
          </w:p>
          <w:p w:rsidR="002B5B4A" w:rsidRPr="00E84044" w:rsidRDefault="00F748E4" w:rsidP="00E84044">
            <w:pPr>
              <w:spacing w:line="276" w:lineRule="auto"/>
              <w:jc w:val="both"/>
              <w:rPr>
                <w:rFonts w:asciiTheme="minorHAnsi" w:hAnsiTheme="minorHAnsi" w:cstheme="minorHAnsi"/>
                <w:b/>
                <w:sz w:val="22"/>
                <w:szCs w:val="22"/>
              </w:rPr>
            </w:pPr>
            <w:r w:rsidRPr="00E84044">
              <w:rPr>
                <w:rFonts w:asciiTheme="minorHAnsi" w:hAnsiTheme="minorHAnsi" w:cstheme="minorHAnsi"/>
                <w:b/>
                <w:sz w:val="22"/>
                <w:szCs w:val="22"/>
              </w:rPr>
              <w:t xml:space="preserve">Gerçek Zamanlı PCR </w:t>
            </w:r>
            <w:r w:rsidR="002B5B4A" w:rsidRPr="00E84044">
              <w:rPr>
                <w:rFonts w:asciiTheme="minorHAnsi" w:hAnsiTheme="minorHAnsi" w:cstheme="minorHAnsi"/>
                <w:b/>
                <w:sz w:val="22"/>
                <w:szCs w:val="22"/>
              </w:rPr>
              <w:t>Numune Kabul Kriterleri</w:t>
            </w:r>
          </w:p>
          <w:p w:rsidR="002B5B4A" w:rsidRPr="00E84044" w:rsidRDefault="002B5B4A" w:rsidP="00E84044">
            <w:pPr>
              <w:spacing w:line="276" w:lineRule="auto"/>
              <w:jc w:val="both"/>
              <w:rPr>
                <w:rFonts w:asciiTheme="minorHAnsi" w:hAnsiTheme="minorHAnsi" w:cstheme="minorHAnsi"/>
                <w:b/>
                <w:sz w:val="22"/>
                <w:szCs w:val="22"/>
              </w:rPr>
            </w:pPr>
          </w:p>
          <w:p w:rsidR="00F748E4" w:rsidRPr="00E84044" w:rsidRDefault="00F748E4" w:rsidP="00E84044">
            <w:pPr>
              <w:spacing w:line="276" w:lineRule="auto"/>
              <w:jc w:val="both"/>
              <w:rPr>
                <w:rFonts w:asciiTheme="minorHAnsi" w:hAnsiTheme="minorHAnsi" w:cstheme="minorHAnsi"/>
                <w:sz w:val="22"/>
                <w:szCs w:val="22"/>
              </w:rPr>
            </w:pPr>
            <w:r w:rsidRPr="00E84044">
              <w:rPr>
                <w:rFonts w:asciiTheme="minorHAnsi" w:hAnsiTheme="minorHAnsi" w:cstheme="minorHAnsi"/>
                <w:sz w:val="22"/>
                <w:szCs w:val="22"/>
              </w:rPr>
              <w:t xml:space="preserve">ODTÜ MERLAB Moleküler Biyoloji ve Biyoteknoloji AR-GE Merkezi GEN Laboratuvarı Gerçek Zamanlı PCR cihazı deneylerinden yüksek kalitede veri elde edebilmek için aşağıda açıklanan Numune Kabul Kriterlerine uyulması gerekmektedir. </w:t>
            </w:r>
          </w:p>
          <w:p w:rsidR="00F748E4" w:rsidRPr="00E84044" w:rsidRDefault="00F748E4" w:rsidP="00923B13">
            <w:pPr>
              <w:pStyle w:val="ListParagraph"/>
              <w:numPr>
                <w:ilvl w:val="0"/>
                <w:numId w:val="12"/>
              </w:num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 xml:space="preserve">Gerçek Zamanlı PCR cihazında RNA ve DNA başlangıç materyali olmak üzere gen ifade, genotipleme, saptama, tanımlama ve miktar tayini analizleri yapılabilmektedir. MERLAB’a teslim edilen numunenin tanımı Tablo 1’e göre yapılarak, “Genom Analiz Laboratuvarı Deney İstek Formu” nun “Deney Parametreleri “ bölümünde bildirilmelidir. </w:t>
            </w:r>
          </w:p>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 xml:space="preserve">Tablo 1 Genom Analiz Laboratuvarı Deney İstek Formu Deney Parametreleri </w:t>
            </w:r>
          </w:p>
          <w:tbl>
            <w:tblPr>
              <w:tblStyle w:val="TableGrid"/>
              <w:tblW w:w="4276" w:type="pct"/>
              <w:tblInd w:w="738" w:type="dxa"/>
              <w:tblLook w:val="04A0" w:firstRow="1" w:lastRow="0" w:firstColumn="1" w:lastColumn="0" w:noHBand="0" w:noVBand="1"/>
            </w:tblPr>
            <w:tblGrid>
              <w:gridCol w:w="1878"/>
              <w:gridCol w:w="2135"/>
              <w:gridCol w:w="2253"/>
              <w:gridCol w:w="2269"/>
            </w:tblGrid>
            <w:tr w:rsidR="00F748E4" w:rsidRPr="00E84044" w:rsidTr="00F748E4">
              <w:tc>
                <w:tcPr>
                  <w:tcW w:w="1100" w:type="pct"/>
                </w:tcPr>
                <w:p w:rsidR="00F748E4" w:rsidRPr="00E84044" w:rsidRDefault="00F748E4" w:rsidP="00923B13">
                  <w:pPr>
                    <w:spacing w:line="276" w:lineRule="auto"/>
                    <w:ind w:left="425" w:hanging="425"/>
                    <w:jc w:val="both"/>
                    <w:rPr>
                      <w:rFonts w:asciiTheme="minorHAnsi" w:hAnsiTheme="minorHAnsi" w:cstheme="minorHAnsi"/>
                      <w:b/>
                      <w:sz w:val="22"/>
                      <w:szCs w:val="22"/>
                    </w:rPr>
                  </w:pPr>
                  <w:r w:rsidRPr="00E84044">
                    <w:rPr>
                      <w:rFonts w:asciiTheme="minorHAnsi" w:hAnsiTheme="minorHAnsi" w:cstheme="minorHAnsi"/>
                      <w:b/>
                      <w:sz w:val="22"/>
                      <w:szCs w:val="22"/>
                    </w:rPr>
                    <w:t xml:space="preserve">Kaynak Organizma </w:t>
                  </w:r>
                </w:p>
              </w:tc>
              <w:tc>
                <w:tcPr>
                  <w:tcW w:w="1251" w:type="pct"/>
                </w:tcPr>
                <w:p w:rsidR="00F748E4" w:rsidRPr="00E84044" w:rsidRDefault="00F748E4" w:rsidP="00923B13">
                  <w:pPr>
                    <w:spacing w:line="276" w:lineRule="auto"/>
                    <w:ind w:left="425" w:hanging="425"/>
                    <w:jc w:val="both"/>
                    <w:rPr>
                      <w:rFonts w:asciiTheme="minorHAnsi" w:hAnsiTheme="minorHAnsi" w:cstheme="minorHAnsi"/>
                      <w:b/>
                      <w:sz w:val="22"/>
                      <w:szCs w:val="22"/>
                    </w:rPr>
                  </w:pPr>
                  <w:r w:rsidRPr="00E84044">
                    <w:rPr>
                      <w:rFonts w:asciiTheme="minorHAnsi" w:hAnsiTheme="minorHAnsi" w:cstheme="minorHAnsi"/>
                      <w:b/>
                      <w:sz w:val="22"/>
                      <w:szCs w:val="22"/>
                    </w:rPr>
                    <w:t>RNA</w:t>
                  </w:r>
                </w:p>
              </w:tc>
              <w:tc>
                <w:tcPr>
                  <w:tcW w:w="1320" w:type="pct"/>
                </w:tcPr>
                <w:p w:rsidR="00F748E4" w:rsidRPr="00E84044" w:rsidRDefault="00F748E4" w:rsidP="00923B13">
                  <w:pPr>
                    <w:spacing w:line="276" w:lineRule="auto"/>
                    <w:ind w:left="425" w:hanging="425"/>
                    <w:jc w:val="both"/>
                    <w:rPr>
                      <w:rFonts w:asciiTheme="minorHAnsi" w:hAnsiTheme="minorHAnsi" w:cstheme="minorHAnsi"/>
                      <w:b/>
                      <w:sz w:val="22"/>
                      <w:szCs w:val="22"/>
                    </w:rPr>
                  </w:pPr>
                  <w:r w:rsidRPr="00E84044">
                    <w:rPr>
                      <w:rFonts w:asciiTheme="minorHAnsi" w:hAnsiTheme="minorHAnsi" w:cstheme="minorHAnsi"/>
                      <w:b/>
                      <w:sz w:val="22"/>
                      <w:szCs w:val="22"/>
                    </w:rPr>
                    <w:t>DNA</w:t>
                  </w:r>
                </w:p>
              </w:tc>
              <w:tc>
                <w:tcPr>
                  <w:tcW w:w="1329" w:type="pct"/>
                </w:tcPr>
                <w:p w:rsidR="00F748E4" w:rsidRPr="00E84044" w:rsidRDefault="00F748E4" w:rsidP="00923B13">
                  <w:pPr>
                    <w:spacing w:line="276" w:lineRule="auto"/>
                    <w:ind w:left="425" w:hanging="425"/>
                    <w:jc w:val="both"/>
                    <w:rPr>
                      <w:rFonts w:asciiTheme="minorHAnsi" w:hAnsiTheme="minorHAnsi" w:cstheme="minorHAnsi"/>
                      <w:b/>
                      <w:sz w:val="22"/>
                      <w:szCs w:val="22"/>
                    </w:rPr>
                  </w:pPr>
                  <w:r w:rsidRPr="00E84044">
                    <w:rPr>
                      <w:rFonts w:asciiTheme="minorHAnsi" w:hAnsiTheme="minorHAnsi" w:cstheme="minorHAnsi"/>
                      <w:b/>
                      <w:sz w:val="22"/>
                      <w:szCs w:val="22"/>
                    </w:rPr>
                    <w:t xml:space="preserve">Diğer </w:t>
                  </w:r>
                </w:p>
              </w:tc>
            </w:tr>
            <w:tr w:rsidR="00F748E4" w:rsidRPr="00E84044" w:rsidTr="00F748E4">
              <w:tc>
                <w:tcPr>
                  <w:tcW w:w="1100" w:type="pct"/>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 xml:space="preserve">Prokaryot                                    </w:t>
                  </w:r>
                </w:p>
              </w:tc>
              <w:tc>
                <w:tcPr>
                  <w:tcW w:w="1251" w:type="pct"/>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Total RNA</w:t>
                  </w:r>
                </w:p>
              </w:tc>
              <w:tc>
                <w:tcPr>
                  <w:tcW w:w="1320" w:type="pct"/>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 xml:space="preserve">gDNA                        </w:t>
                  </w:r>
                </w:p>
              </w:tc>
              <w:tc>
                <w:tcPr>
                  <w:tcW w:w="1329" w:type="pct"/>
                </w:tcPr>
                <w:p w:rsidR="00F748E4" w:rsidRPr="00E84044" w:rsidRDefault="00F748E4" w:rsidP="00923B13">
                  <w:pPr>
                    <w:spacing w:line="276" w:lineRule="auto"/>
                    <w:ind w:left="425" w:hanging="425"/>
                    <w:jc w:val="both"/>
                    <w:rPr>
                      <w:rFonts w:asciiTheme="minorHAnsi" w:hAnsiTheme="minorHAnsi" w:cstheme="minorHAnsi"/>
                      <w:sz w:val="22"/>
                      <w:szCs w:val="22"/>
                    </w:rPr>
                  </w:pPr>
                </w:p>
              </w:tc>
            </w:tr>
            <w:tr w:rsidR="00F748E4" w:rsidRPr="00E84044" w:rsidTr="00F748E4">
              <w:tc>
                <w:tcPr>
                  <w:tcW w:w="1100" w:type="pct"/>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Ökaryot</w:t>
                  </w:r>
                </w:p>
              </w:tc>
              <w:tc>
                <w:tcPr>
                  <w:tcW w:w="1251" w:type="pct"/>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 xml:space="preserve">mRNA                       </w:t>
                  </w:r>
                </w:p>
              </w:tc>
              <w:tc>
                <w:tcPr>
                  <w:tcW w:w="1320" w:type="pct"/>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 xml:space="preserve">cDNA  </w:t>
                  </w:r>
                </w:p>
              </w:tc>
              <w:tc>
                <w:tcPr>
                  <w:tcW w:w="1329" w:type="pct"/>
                </w:tcPr>
                <w:p w:rsidR="00F748E4" w:rsidRPr="00E84044" w:rsidRDefault="00F748E4" w:rsidP="00923B13">
                  <w:pPr>
                    <w:spacing w:line="276" w:lineRule="auto"/>
                    <w:ind w:left="425" w:hanging="425"/>
                    <w:jc w:val="both"/>
                    <w:rPr>
                      <w:rFonts w:asciiTheme="minorHAnsi" w:hAnsiTheme="minorHAnsi" w:cstheme="minorHAnsi"/>
                      <w:sz w:val="22"/>
                      <w:szCs w:val="22"/>
                    </w:rPr>
                  </w:pPr>
                </w:p>
              </w:tc>
            </w:tr>
            <w:tr w:rsidR="00F748E4" w:rsidRPr="00E84044" w:rsidTr="00F748E4">
              <w:tc>
                <w:tcPr>
                  <w:tcW w:w="1100" w:type="pct"/>
                </w:tcPr>
                <w:p w:rsidR="00F748E4" w:rsidRPr="00E84044" w:rsidRDefault="00F748E4" w:rsidP="00923B13">
                  <w:pPr>
                    <w:spacing w:line="276" w:lineRule="auto"/>
                    <w:ind w:left="425" w:hanging="425"/>
                    <w:jc w:val="both"/>
                    <w:rPr>
                      <w:rFonts w:asciiTheme="minorHAnsi" w:hAnsiTheme="minorHAnsi" w:cstheme="minorHAnsi"/>
                      <w:sz w:val="22"/>
                      <w:szCs w:val="22"/>
                    </w:rPr>
                  </w:pPr>
                </w:p>
              </w:tc>
              <w:tc>
                <w:tcPr>
                  <w:tcW w:w="1251" w:type="pct"/>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 xml:space="preserve">small RNA         </w:t>
                  </w:r>
                </w:p>
              </w:tc>
              <w:tc>
                <w:tcPr>
                  <w:tcW w:w="1320" w:type="pct"/>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 xml:space="preserve">Plasmid DNA </w:t>
                  </w:r>
                </w:p>
              </w:tc>
              <w:tc>
                <w:tcPr>
                  <w:tcW w:w="1329" w:type="pct"/>
                </w:tcPr>
                <w:p w:rsidR="00F748E4" w:rsidRPr="00E84044" w:rsidRDefault="00F748E4" w:rsidP="00923B13">
                  <w:pPr>
                    <w:spacing w:line="276" w:lineRule="auto"/>
                    <w:ind w:left="425" w:hanging="425"/>
                    <w:jc w:val="both"/>
                    <w:rPr>
                      <w:rFonts w:asciiTheme="minorHAnsi" w:hAnsiTheme="minorHAnsi" w:cstheme="minorHAnsi"/>
                      <w:sz w:val="22"/>
                      <w:szCs w:val="22"/>
                    </w:rPr>
                  </w:pPr>
                </w:p>
              </w:tc>
            </w:tr>
          </w:tbl>
          <w:p w:rsidR="00F748E4" w:rsidRPr="00E84044" w:rsidRDefault="00F748E4" w:rsidP="00923B13">
            <w:pPr>
              <w:spacing w:line="276" w:lineRule="auto"/>
              <w:ind w:left="425" w:hanging="425"/>
              <w:jc w:val="both"/>
              <w:rPr>
                <w:rFonts w:asciiTheme="minorHAnsi" w:hAnsiTheme="minorHAnsi" w:cstheme="minorHAnsi"/>
                <w:sz w:val="22"/>
                <w:szCs w:val="22"/>
              </w:rPr>
            </w:pPr>
          </w:p>
          <w:p w:rsidR="00F748E4" w:rsidRPr="00E84044" w:rsidRDefault="00F748E4" w:rsidP="00923B13">
            <w:pPr>
              <w:pStyle w:val="ListParagraph"/>
              <w:numPr>
                <w:ilvl w:val="0"/>
                <w:numId w:val="12"/>
              </w:num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 xml:space="preserve">Numunenin taşınma ve muhafaza koşulları :  Numunelerin MERLAB Moleküler Biyoloji ve Biyoteknoloji Ar-Ge Merkezi’ne getirilmesine kadar geçen sürede muhafazasının sorumluluğu müşteriye aittir.  Soğuk zincir gerektiren numuneler, soğuk zincir bozulmadan laboratuvara getirilmelidir.  Numuneler mutlaka RNase/DNase free 0,5-2  mL’lik eppendorf tüplerde teslim edilmelidir. Çatlak, kırık yada temiz bir görünüme sahip olmayan tüpler numunenin özelliklerini bozmuş olabileceğinden kabul edilmeyecektir. Numune tüpleri numuneyi açıklayacak bilgileri içeren etikete sahip olmalıdır. Standart eğri oluşturulması için ve pozitif kontrol olarak kullanılacak olan numune/tüp özellikle belirtilerek etiketlenmelidir. </w:t>
            </w:r>
          </w:p>
          <w:p w:rsidR="00E84044" w:rsidRPr="00E84044" w:rsidRDefault="00E84044" w:rsidP="00923B13">
            <w:pPr>
              <w:pStyle w:val="ListParagraph"/>
              <w:numPr>
                <w:ilvl w:val="0"/>
                <w:numId w:val="12"/>
              </w:num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Numuneler 01’den başlayarak müşteri tarafından mutlaka kodlanmalıdır. Deney raporunda sadece numune kodları belirtilecektir.</w:t>
            </w:r>
          </w:p>
          <w:p w:rsidR="00F748E4" w:rsidRPr="00E84044" w:rsidRDefault="00F748E4" w:rsidP="00923B13">
            <w:pPr>
              <w:pStyle w:val="ListParagraph"/>
              <w:numPr>
                <w:ilvl w:val="0"/>
                <w:numId w:val="12"/>
              </w:num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 xml:space="preserve">Numune tanımına uygun olarak deneyin gerçekleşmesi için teslim edilmesi gereken konsantrasyon, miktar ve dokümanlar Tablo 2’de belirtilmiştir. </w:t>
            </w:r>
          </w:p>
          <w:p w:rsidR="00F748E4" w:rsidRPr="00E84044" w:rsidRDefault="00F748E4" w:rsidP="00923B13">
            <w:pPr>
              <w:spacing w:line="276" w:lineRule="auto"/>
              <w:ind w:left="425" w:hanging="425"/>
              <w:jc w:val="both"/>
              <w:rPr>
                <w:rFonts w:asciiTheme="minorHAnsi" w:hAnsiTheme="minorHAnsi" w:cstheme="minorHAnsi"/>
                <w:color w:val="4F81BD" w:themeColor="accent1"/>
                <w:sz w:val="22"/>
                <w:szCs w:val="22"/>
              </w:rPr>
            </w:pPr>
          </w:p>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Tablo 2 Numune ile birlikte teslim edilmesi gereken konsantrasyon, miktar ve dokümanlar</w:t>
            </w:r>
          </w:p>
          <w:tbl>
            <w:tblPr>
              <w:tblStyle w:val="TableGrid"/>
              <w:tblW w:w="4347" w:type="pct"/>
              <w:tblInd w:w="738" w:type="dxa"/>
              <w:tblLook w:val="04A0" w:firstRow="1" w:lastRow="0" w:firstColumn="1" w:lastColumn="0" w:noHBand="0" w:noVBand="1"/>
            </w:tblPr>
            <w:tblGrid>
              <w:gridCol w:w="881"/>
              <w:gridCol w:w="2126"/>
              <w:gridCol w:w="2126"/>
              <w:gridCol w:w="3544"/>
            </w:tblGrid>
            <w:tr w:rsidR="00F748E4" w:rsidRPr="00E84044" w:rsidTr="00F748E4">
              <w:trPr>
                <w:trHeight w:val="20"/>
              </w:trPr>
              <w:tc>
                <w:tcPr>
                  <w:tcW w:w="508" w:type="pct"/>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p>
              </w:tc>
              <w:tc>
                <w:tcPr>
                  <w:tcW w:w="1225" w:type="pct"/>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p>
              </w:tc>
              <w:tc>
                <w:tcPr>
                  <w:tcW w:w="1225" w:type="pct"/>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Konsantrasyon</w:t>
                  </w:r>
                </w:p>
              </w:tc>
              <w:tc>
                <w:tcPr>
                  <w:tcW w:w="2042" w:type="pct"/>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Numune ile birlikte getirilmesi gereken doküman</w:t>
                  </w:r>
                </w:p>
              </w:tc>
            </w:tr>
            <w:tr w:rsidR="00F748E4" w:rsidRPr="00E84044" w:rsidTr="00F748E4">
              <w:trPr>
                <w:trHeight w:val="20"/>
              </w:trPr>
              <w:tc>
                <w:tcPr>
                  <w:tcW w:w="508" w:type="pct"/>
                  <w:vMerge w:val="restart"/>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RNA</w:t>
                  </w:r>
                </w:p>
              </w:tc>
              <w:tc>
                <w:tcPr>
                  <w:tcW w:w="1225" w:type="pct"/>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Total RNA</w:t>
                  </w:r>
                </w:p>
              </w:tc>
              <w:tc>
                <w:tcPr>
                  <w:tcW w:w="1225" w:type="pct"/>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25-500 ng/uL</w:t>
                  </w:r>
                </w:p>
              </w:tc>
              <w:tc>
                <w:tcPr>
                  <w:tcW w:w="2042" w:type="pct"/>
                  <w:vMerge w:val="restart"/>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Konsantrasyon (ng/uL), A260/A280&gt;1.9 ve DNA ladder ile yürütülmüş jel fotoğrafı</w:t>
                  </w:r>
                </w:p>
                <w:p w:rsidR="00F748E4" w:rsidRPr="00E84044" w:rsidRDefault="00F748E4" w:rsidP="00923B13">
                  <w:pPr>
                    <w:spacing w:line="276" w:lineRule="auto"/>
                    <w:ind w:left="425" w:hanging="425"/>
                    <w:jc w:val="both"/>
                    <w:rPr>
                      <w:rFonts w:asciiTheme="minorHAnsi" w:hAnsiTheme="minorHAnsi" w:cstheme="minorHAnsi"/>
                      <w:sz w:val="22"/>
                      <w:szCs w:val="22"/>
                    </w:rPr>
                  </w:pPr>
                </w:p>
              </w:tc>
            </w:tr>
            <w:tr w:rsidR="00F748E4" w:rsidRPr="00E84044" w:rsidTr="00F748E4">
              <w:trPr>
                <w:trHeight w:val="20"/>
              </w:trPr>
              <w:tc>
                <w:tcPr>
                  <w:tcW w:w="508" w:type="pct"/>
                  <w:vMerge/>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p>
              </w:tc>
              <w:tc>
                <w:tcPr>
                  <w:tcW w:w="1225" w:type="pct"/>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mRNA</w:t>
                  </w:r>
                </w:p>
              </w:tc>
              <w:tc>
                <w:tcPr>
                  <w:tcW w:w="1225" w:type="pct"/>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25-250 ng/uL</w:t>
                  </w:r>
                </w:p>
              </w:tc>
              <w:tc>
                <w:tcPr>
                  <w:tcW w:w="2042" w:type="pct"/>
                  <w:vMerge/>
                </w:tcPr>
                <w:p w:rsidR="00F748E4" w:rsidRPr="00E84044" w:rsidRDefault="00F748E4" w:rsidP="00923B13">
                  <w:pPr>
                    <w:spacing w:line="276" w:lineRule="auto"/>
                    <w:ind w:left="425" w:hanging="425"/>
                    <w:jc w:val="both"/>
                    <w:rPr>
                      <w:rFonts w:asciiTheme="minorHAnsi" w:hAnsiTheme="minorHAnsi" w:cstheme="minorHAnsi"/>
                      <w:sz w:val="22"/>
                      <w:szCs w:val="22"/>
                    </w:rPr>
                  </w:pPr>
                </w:p>
              </w:tc>
            </w:tr>
            <w:tr w:rsidR="00F748E4" w:rsidRPr="00E84044" w:rsidTr="00F748E4">
              <w:trPr>
                <w:trHeight w:val="20"/>
              </w:trPr>
              <w:tc>
                <w:tcPr>
                  <w:tcW w:w="508" w:type="pct"/>
                  <w:vMerge/>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p>
              </w:tc>
              <w:tc>
                <w:tcPr>
                  <w:tcW w:w="1225" w:type="pct"/>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small RNA</w:t>
                  </w:r>
                </w:p>
              </w:tc>
              <w:tc>
                <w:tcPr>
                  <w:tcW w:w="1225" w:type="pct"/>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50-2000 pg/uL</w:t>
                  </w:r>
                </w:p>
              </w:tc>
              <w:tc>
                <w:tcPr>
                  <w:tcW w:w="2042" w:type="pct"/>
                  <w:vMerge/>
                </w:tcPr>
                <w:p w:rsidR="00F748E4" w:rsidRPr="00E84044" w:rsidRDefault="00F748E4" w:rsidP="00923B13">
                  <w:pPr>
                    <w:spacing w:line="276" w:lineRule="auto"/>
                    <w:ind w:left="425" w:hanging="425"/>
                    <w:jc w:val="both"/>
                    <w:rPr>
                      <w:rFonts w:asciiTheme="minorHAnsi" w:hAnsiTheme="minorHAnsi" w:cstheme="minorHAnsi"/>
                      <w:sz w:val="22"/>
                      <w:szCs w:val="22"/>
                    </w:rPr>
                  </w:pPr>
                </w:p>
              </w:tc>
            </w:tr>
            <w:tr w:rsidR="00F748E4" w:rsidRPr="00E84044" w:rsidTr="00F748E4">
              <w:trPr>
                <w:trHeight w:val="20"/>
              </w:trPr>
              <w:tc>
                <w:tcPr>
                  <w:tcW w:w="508" w:type="pct"/>
                  <w:vMerge w:val="restart"/>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DNA</w:t>
                  </w:r>
                </w:p>
              </w:tc>
              <w:tc>
                <w:tcPr>
                  <w:tcW w:w="1225" w:type="pct"/>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gDNA</w:t>
                  </w:r>
                </w:p>
              </w:tc>
              <w:tc>
                <w:tcPr>
                  <w:tcW w:w="1225" w:type="pct"/>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25-100 ng/uL</w:t>
                  </w:r>
                </w:p>
              </w:tc>
              <w:tc>
                <w:tcPr>
                  <w:tcW w:w="2042" w:type="pct"/>
                  <w:vMerge w:val="restart"/>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Konsantrasyon (ng/uL), A260/A280&gt;1.8-2.1 ve DNA ladder ile yürütülmüş jel fotoğrafı</w:t>
                  </w:r>
                </w:p>
              </w:tc>
            </w:tr>
            <w:tr w:rsidR="00F748E4" w:rsidRPr="00E84044" w:rsidTr="00F748E4">
              <w:trPr>
                <w:trHeight w:val="20"/>
              </w:trPr>
              <w:tc>
                <w:tcPr>
                  <w:tcW w:w="508" w:type="pct"/>
                  <w:vMerge/>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p>
              </w:tc>
              <w:tc>
                <w:tcPr>
                  <w:tcW w:w="1225" w:type="pct"/>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cDNA</w:t>
                  </w:r>
                </w:p>
              </w:tc>
              <w:tc>
                <w:tcPr>
                  <w:tcW w:w="1225" w:type="pct"/>
                  <w:vAlign w:val="center"/>
                </w:tcPr>
                <w:p w:rsidR="00F748E4" w:rsidRPr="00E84044" w:rsidRDefault="00F748E4" w:rsidP="00923B13">
                  <w:p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25-100 ng/uL</w:t>
                  </w:r>
                </w:p>
              </w:tc>
              <w:tc>
                <w:tcPr>
                  <w:tcW w:w="2042" w:type="pct"/>
                  <w:vMerge/>
                </w:tcPr>
                <w:p w:rsidR="00F748E4" w:rsidRPr="00E84044" w:rsidRDefault="00F748E4" w:rsidP="00923B13">
                  <w:pPr>
                    <w:spacing w:line="276" w:lineRule="auto"/>
                    <w:ind w:left="425" w:hanging="425"/>
                    <w:jc w:val="both"/>
                    <w:rPr>
                      <w:rFonts w:asciiTheme="minorHAnsi" w:hAnsiTheme="minorHAnsi" w:cstheme="minorHAnsi"/>
                      <w:sz w:val="22"/>
                      <w:szCs w:val="22"/>
                    </w:rPr>
                  </w:pPr>
                </w:p>
              </w:tc>
            </w:tr>
            <w:tr w:rsidR="00F748E4" w:rsidRPr="00E84044" w:rsidTr="00F748E4">
              <w:trPr>
                <w:trHeight w:val="20"/>
              </w:trPr>
              <w:tc>
                <w:tcPr>
                  <w:tcW w:w="508" w:type="pct"/>
                  <w:vMerge/>
                  <w:vAlign w:val="center"/>
                </w:tcPr>
                <w:p w:rsidR="00F748E4" w:rsidRPr="00E84044" w:rsidRDefault="00F748E4" w:rsidP="00E84044">
                  <w:pPr>
                    <w:spacing w:line="276" w:lineRule="auto"/>
                    <w:jc w:val="both"/>
                    <w:rPr>
                      <w:rFonts w:asciiTheme="minorHAnsi" w:hAnsiTheme="minorHAnsi" w:cstheme="minorHAnsi"/>
                      <w:sz w:val="22"/>
                      <w:szCs w:val="22"/>
                    </w:rPr>
                  </w:pPr>
                </w:p>
              </w:tc>
              <w:tc>
                <w:tcPr>
                  <w:tcW w:w="1225" w:type="pct"/>
                  <w:vAlign w:val="center"/>
                </w:tcPr>
                <w:p w:rsidR="00F748E4" w:rsidRPr="00E84044" w:rsidRDefault="00F748E4" w:rsidP="00E84044">
                  <w:pPr>
                    <w:spacing w:line="276" w:lineRule="auto"/>
                    <w:jc w:val="both"/>
                    <w:rPr>
                      <w:rFonts w:asciiTheme="minorHAnsi" w:hAnsiTheme="minorHAnsi" w:cstheme="minorHAnsi"/>
                      <w:sz w:val="22"/>
                      <w:szCs w:val="22"/>
                    </w:rPr>
                  </w:pPr>
                  <w:r w:rsidRPr="00E84044">
                    <w:rPr>
                      <w:rFonts w:asciiTheme="minorHAnsi" w:hAnsiTheme="minorHAnsi" w:cstheme="minorHAnsi"/>
                      <w:sz w:val="22"/>
                      <w:szCs w:val="22"/>
                    </w:rPr>
                    <w:t xml:space="preserve">Plasmid DNA </w:t>
                  </w:r>
                </w:p>
              </w:tc>
              <w:tc>
                <w:tcPr>
                  <w:tcW w:w="1225" w:type="pct"/>
                  <w:vAlign w:val="center"/>
                </w:tcPr>
                <w:p w:rsidR="00F748E4" w:rsidRPr="00E84044" w:rsidRDefault="00F748E4" w:rsidP="00E84044">
                  <w:pPr>
                    <w:spacing w:line="276" w:lineRule="auto"/>
                    <w:jc w:val="both"/>
                    <w:rPr>
                      <w:rFonts w:asciiTheme="minorHAnsi" w:hAnsiTheme="minorHAnsi" w:cstheme="minorHAnsi"/>
                      <w:sz w:val="22"/>
                      <w:szCs w:val="22"/>
                    </w:rPr>
                  </w:pPr>
                  <w:r w:rsidRPr="00E84044">
                    <w:rPr>
                      <w:rFonts w:asciiTheme="minorHAnsi" w:hAnsiTheme="minorHAnsi" w:cstheme="minorHAnsi"/>
                      <w:sz w:val="22"/>
                      <w:szCs w:val="22"/>
                    </w:rPr>
                    <w:t>25- 100 ng/uL</w:t>
                  </w:r>
                </w:p>
              </w:tc>
              <w:tc>
                <w:tcPr>
                  <w:tcW w:w="2042" w:type="pct"/>
                  <w:vMerge/>
                </w:tcPr>
                <w:p w:rsidR="00F748E4" w:rsidRPr="00E84044" w:rsidRDefault="00F748E4" w:rsidP="00E84044">
                  <w:pPr>
                    <w:spacing w:line="276" w:lineRule="auto"/>
                    <w:jc w:val="both"/>
                    <w:rPr>
                      <w:rFonts w:asciiTheme="minorHAnsi" w:hAnsiTheme="minorHAnsi" w:cstheme="minorHAnsi"/>
                      <w:sz w:val="22"/>
                      <w:szCs w:val="22"/>
                    </w:rPr>
                  </w:pPr>
                </w:p>
              </w:tc>
            </w:tr>
          </w:tbl>
          <w:p w:rsidR="00F748E4" w:rsidRPr="00E84044" w:rsidRDefault="00F748E4" w:rsidP="00E84044">
            <w:pPr>
              <w:spacing w:line="276" w:lineRule="auto"/>
              <w:jc w:val="both"/>
              <w:rPr>
                <w:rFonts w:asciiTheme="minorHAnsi" w:hAnsiTheme="minorHAnsi" w:cstheme="minorHAnsi"/>
                <w:sz w:val="22"/>
                <w:szCs w:val="22"/>
              </w:rPr>
            </w:pPr>
          </w:p>
          <w:p w:rsidR="00F748E4" w:rsidRPr="00E84044" w:rsidRDefault="00F748E4" w:rsidP="00923B13">
            <w:pPr>
              <w:pStyle w:val="ListParagraph"/>
              <w:numPr>
                <w:ilvl w:val="0"/>
                <w:numId w:val="12"/>
              </w:num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lastRenderedPageBreak/>
              <w:t xml:space="preserve">Numunelere uygulanan nükleik asit ekstraksiyon yöntemi  (yöntem ya da kitin adı, varsa modifikasyonlar) başvuru sırasında “Genom Analiz Laboratuvarı Deney İstek Formu” nun “Deney ile İlgili Özellikler“ bölümünde bildirilmelidir. </w:t>
            </w:r>
          </w:p>
          <w:p w:rsidR="00F748E4" w:rsidRPr="00E84044" w:rsidRDefault="00F748E4" w:rsidP="00923B13">
            <w:pPr>
              <w:pStyle w:val="ListParagraph"/>
              <w:numPr>
                <w:ilvl w:val="0"/>
                <w:numId w:val="12"/>
              </w:num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 xml:space="preserve">Deney sırasında kullanılacak assay tipini (absolute kuantifikasyon ve relative kuantifikasyon) ile metodu (SybrGreen veya Primer/probe) ile analize alınacak gen/genler  “Genom Analiz Laboratuvarı Deney İstek Formu” nun “Deney Parametreleri “ böümünde belirtilmelidir. </w:t>
            </w:r>
          </w:p>
          <w:p w:rsidR="00F748E4" w:rsidRPr="00E84044" w:rsidRDefault="00594E3A" w:rsidP="00923B13">
            <w:pPr>
              <w:pStyle w:val="ListParagraph"/>
              <w:numPr>
                <w:ilvl w:val="0"/>
                <w:numId w:val="12"/>
              </w:numPr>
              <w:spacing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D</w:t>
            </w:r>
            <w:r w:rsidR="00F748E4" w:rsidRPr="00E84044">
              <w:rPr>
                <w:rFonts w:asciiTheme="minorHAnsi" w:hAnsiTheme="minorHAnsi" w:cstheme="minorHAnsi"/>
                <w:sz w:val="22"/>
                <w:szCs w:val="22"/>
              </w:rPr>
              <w:t>eney istek formu doldurulmuş olmalıdır ve numune ile birlikte getirilmelidir.</w:t>
            </w:r>
          </w:p>
          <w:p w:rsidR="00F748E4" w:rsidRPr="00E84044" w:rsidRDefault="00F748E4" w:rsidP="00923B13">
            <w:pPr>
              <w:pStyle w:val="ListParagraph"/>
              <w:numPr>
                <w:ilvl w:val="0"/>
                <w:numId w:val="12"/>
              </w:num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 xml:space="preserve">Tahmini analiz süresi 1-3 gündür. </w:t>
            </w:r>
          </w:p>
          <w:p w:rsidR="003B69FD" w:rsidRPr="00E84044" w:rsidRDefault="00F748E4" w:rsidP="00923B13">
            <w:pPr>
              <w:pStyle w:val="ListParagraph"/>
              <w:numPr>
                <w:ilvl w:val="0"/>
                <w:numId w:val="12"/>
              </w:numPr>
              <w:spacing w:line="276" w:lineRule="auto"/>
              <w:ind w:left="425" w:hanging="425"/>
              <w:jc w:val="both"/>
              <w:rPr>
                <w:rFonts w:asciiTheme="minorHAnsi" w:hAnsiTheme="minorHAnsi" w:cstheme="minorHAnsi"/>
                <w:sz w:val="22"/>
                <w:szCs w:val="22"/>
              </w:rPr>
            </w:pPr>
            <w:r w:rsidRPr="00E84044">
              <w:rPr>
                <w:rFonts w:asciiTheme="minorHAnsi" w:hAnsiTheme="minorHAnsi" w:cstheme="minorHAnsi"/>
                <w:sz w:val="22"/>
                <w:szCs w:val="22"/>
              </w:rPr>
              <w:t xml:space="preserve">İletişim için </w:t>
            </w:r>
            <w:hyperlink r:id="rId9" w:history="1">
              <w:r w:rsidR="00F51599" w:rsidRPr="00E84044">
                <w:rPr>
                  <w:rStyle w:val="Hyperlink"/>
                  <w:rFonts w:asciiTheme="minorHAnsi" w:hAnsiTheme="minorHAnsi" w:cstheme="minorHAnsi"/>
                  <w:sz w:val="22"/>
                  <w:szCs w:val="22"/>
                </w:rPr>
                <w:t>mlabgen@metu.edu.tr</w:t>
              </w:r>
            </w:hyperlink>
            <w:r w:rsidR="00F51599" w:rsidRPr="00E84044">
              <w:rPr>
                <w:rStyle w:val="Hyperlink"/>
                <w:rFonts w:asciiTheme="minorHAnsi" w:hAnsiTheme="minorHAnsi" w:cstheme="minorHAnsi"/>
                <w:sz w:val="22"/>
                <w:szCs w:val="22"/>
                <w:u w:val="none"/>
              </w:rPr>
              <w:t xml:space="preserve"> </w:t>
            </w:r>
            <w:r w:rsidRPr="00E84044">
              <w:rPr>
                <w:rFonts w:asciiTheme="minorHAnsi" w:hAnsiTheme="minorHAnsi" w:cstheme="minorHAnsi"/>
                <w:sz w:val="22"/>
                <w:szCs w:val="22"/>
              </w:rPr>
              <w:t>adresi kullanılabilir.</w:t>
            </w:r>
            <w:r w:rsidRPr="00F748E4">
              <w:rPr>
                <w:rFonts w:asciiTheme="minorHAnsi" w:hAnsiTheme="minorHAnsi" w:cstheme="minorHAnsi"/>
                <w:sz w:val="22"/>
                <w:szCs w:val="22"/>
              </w:rPr>
              <w:t xml:space="preserve"> </w:t>
            </w:r>
          </w:p>
        </w:tc>
      </w:tr>
    </w:tbl>
    <w:p w:rsidR="00076576" w:rsidRPr="00796535" w:rsidRDefault="00076576" w:rsidP="00076576">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p w:rsidR="00076576" w:rsidRPr="0020082E" w:rsidRDefault="00076576" w:rsidP="005523E4">
      <w:pPr>
        <w:spacing w:line="276" w:lineRule="auto"/>
        <w:jc w:val="both"/>
        <w:rPr>
          <w:rFonts w:ascii="Calibri" w:eastAsia="Calibri" w:hAnsi="Calibri" w:cs="Calibri"/>
          <w:sz w:val="22"/>
          <w:szCs w:val="22"/>
          <w:lang w:eastAsia="en-US"/>
        </w:rPr>
      </w:pPr>
    </w:p>
    <w:sectPr w:rsidR="00076576" w:rsidRPr="0020082E" w:rsidSect="0014514E">
      <w:headerReference w:type="even" r:id="rId10"/>
      <w:headerReference w:type="default" r:id="rId11"/>
      <w:footerReference w:type="even" r:id="rId12"/>
      <w:footerReference w:type="default" r:id="rId13"/>
      <w:headerReference w:type="first" r:id="rId14"/>
      <w:footerReference w:type="first" r:id="rId15"/>
      <w:pgSz w:w="11905" w:h="16837" w:code="9"/>
      <w:pgMar w:top="567" w:right="567" w:bottom="567" w:left="1134"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6D" w:rsidRDefault="000D236D" w:rsidP="00390603">
      <w:r>
        <w:separator/>
      </w:r>
    </w:p>
  </w:endnote>
  <w:endnote w:type="continuationSeparator" w:id="0">
    <w:p w:rsidR="000D236D" w:rsidRDefault="000D236D" w:rsidP="0039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DejaVu Sans">
    <w:panose1 w:val="020B0603030804020204"/>
    <w:charset w:val="A2"/>
    <w:family w:val="swiss"/>
    <w:pitch w:val="variable"/>
    <w:sig w:usb0="E7002EFF" w:usb1="D200FDFF" w:usb2="0A24602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99" w:rsidRDefault="00F51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663205023"/>
      <w:docPartObj>
        <w:docPartGallery w:val="Page Numbers (Bottom of Page)"/>
        <w:docPartUnique/>
      </w:docPartObj>
    </w:sdtPr>
    <w:sdtEndPr/>
    <w:sdtContent>
      <w:sdt>
        <w:sdtPr>
          <w:rPr>
            <w:rFonts w:ascii="Calibri" w:hAnsi="Calibri" w:cs="Calibri"/>
            <w:b w:val="0"/>
            <w:i w:val="0"/>
            <w:sz w:val="18"/>
            <w:szCs w:val="18"/>
            <w14:shadow w14:blurRad="0" w14:dist="0" w14:dir="0" w14:sx="0" w14:sy="0" w14:kx="0" w14:ky="0" w14:algn="none">
              <w14:srgbClr w14:val="000000"/>
            </w14:shadow>
          </w:rPr>
          <w:id w:val="860082579"/>
          <w:docPartObj>
            <w:docPartGallery w:val="Page Numbers (Top of Page)"/>
            <w:docPartUnique/>
          </w:docPartObj>
        </w:sdtPr>
        <w:sdtEndPr/>
        <w:sdtContent>
          <w:p w:rsidR="003B69FD" w:rsidRPr="0014514E" w:rsidRDefault="003B69FD" w:rsidP="0014514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FRM-MBB-</w:t>
            </w:r>
            <w:r w:rsidR="00F51599">
              <w:rPr>
                <w:rFonts w:ascii="Calibri" w:hAnsi="Calibri" w:cs="Calibri"/>
                <w:b w:val="0"/>
                <w:i w:val="0"/>
                <w:sz w:val="18"/>
                <w:szCs w:val="18"/>
                <w14:shadow w14:blurRad="0" w14:dist="0" w14:dir="0" w14:sx="0" w14:sy="0" w14:kx="0" w14:ky="0" w14:algn="none">
                  <w14:srgbClr w14:val="000000"/>
                </w14:shadow>
              </w:rPr>
              <w:t>GEN</w:t>
            </w:r>
            <w:r>
              <w:rPr>
                <w:rFonts w:ascii="Calibri" w:hAnsi="Calibri" w:cs="Calibri"/>
                <w:b w:val="0"/>
                <w:i w:val="0"/>
                <w:sz w:val="18"/>
                <w:szCs w:val="18"/>
                <w14:shadow w14:blurRad="0" w14:dist="0" w14:dir="0" w14:sx="0" w14:sy="0" w14:kx="0" w14:ky="0" w14:algn="none">
                  <w14:srgbClr w14:val="000000"/>
                </w14:shadow>
              </w:rPr>
              <w:t>-</w:t>
            </w:r>
            <w:r w:rsidR="00F51599">
              <w:rPr>
                <w:rFonts w:ascii="Calibri" w:hAnsi="Calibri" w:cs="Calibri"/>
                <w:b w:val="0"/>
                <w:i w:val="0"/>
                <w:sz w:val="18"/>
                <w:szCs w:val="18"/>
                <w14:shadow w14:blurRad="0" w14:dist="0" w14:dir="0" w14:sx="0" w14:sy="0" w14:kx="0" w14:ky="0" w14:algn="none">
                  <w14:srgbClr w14:val="000000"/>
                </w14:shadow>
              </w:rPr>
              <w:t>17</w:t>
            </w:r>
            <w:r w:rsidRPr="00D51AD6">
              <w:rPr>
                <w:rFonts w:ascii="Calibri" w:hAnsi="Calibri" w:cs="Calibri"/>
                <w:b w:val="0"/>
                <w:i w:val="0"/>
                <w:sz w:val="18"/>
                <w:szCs w:val="18"/>
                <w14:shadow w14:blurRad="0" w14:dist="0" w14:dir="0" w14:sx="0" w14:sy="0" w14:kx="0" w14:ky="0" w14:algn="none">
                  <w14:srgbClr w14:val="000000"/>
                </w14:shadow>
              </w:rPr>
              <w:t xml:space="preserve">     Rev</w:t>
            </w:r>
            <w:r>
              <w:rPr>
                <w:rFonts w:ascii="Calibri" w:hAnsi="Calibri" w:cs="Calibri"/>
                <w:b w:val="0"/>
                <w:i w:val="0"/>
                <w:sz w:val="18"/>
                <w:szCs w:val="18"/>
                <w14:shadow w14:blurRad="0" w14:dist="0" w14:dir="0" w14:sx="0" w14:sy="0" w14:kx="0" w14:ky="0" w14:algn="none">
                  <w14:srgbClr w14:val="000000"/>
                </w14:shadow>
              </w:rPr>
              <w:t>.</w:t>
            </w:r>
            <w:r w:rsidRPr="00D51AD6">
              <w:rPr>
                <w:rFonts w:ascii="Calibri" w:hAnsi="Calibri" w:cs="Calibri"/>
                <w:b w:val="0"/>
                <w:i w:val="0"/>
                <w:sz w:val="18"/>
                <w:szCs w:val="18"/>
                <w14:shadow w14:blurRad="0" w14:dist="0" w14:dir="0" w14:sx="0" w14:sy="0" w14:kx="0" w14:ky="0" w14:algn="none">
                  <w14:srgbClr w14:val="000000"/>
                </w14:shadow>
              </w:rPr>
              <w:t>No/Tarih: 0</w:t>
            </w:r>
            <w:r w:rsidR="00594E3A">
              <w:rPr>
                <w:rFonts w:ascii="Calibri" w:hAnsi="Calibri" w:cs="Calibri"/>
                <w:b w:val="0"/>
                <w:i w:val="0"/>
                <w:sz w:val="18"/>
                <w:szCs w:val="18"/>
                <w14:shadow w14:blurRad="0" w14:dist="0" w14:dir="0" w14:sx="0" w14:sy="0" w14:kx="0" w14:ky="0" w14:algn="none">
                  <w14:srgbClr w14:val="000000"/>
                </w14:shadow>
              </w:rPr>
              <w:t>1</w:t>
            </w:r>
            <w:r w:rsidRPr="00D51AD6">
              <w:rPr>
                <w:rFonts w:ascii="Calibri" w:hAnsi="Calibri" w:cs="Calibri"/>
                <w:b w:val="0"/>
                <w:i w:val="0"/>
                <w:sz w:val="18"/>
                <w:szCs w:val="18"/>
                <w14:shadow w14:blurRad="0" w14:dist="0" w14:dir="0" w14:sx="0" w14:sy="0" w14:kx="0" w14:ky="0" w14:algn="none">
                  <w14:srgbClr w14:val="000000"/>
                </w14:shadow>
              </w:rPr>
              <w:t>/</w:t>
            </w:r>
            <w:r w:rsidR="00594E3A">
              <w:rPr>
                <w:rFonts w:ascii="Calibri" w:hAnsi="Calibri" w:cs="Calibri"/>
                <w:b w:val="0"/>
                <w:i w:val="0"/>
                <w:sz w:val="18"/>
                <w:szCs w:val="18"/>
                <w14:shadow w14:blurRad="0" w14:dist="0" w14:dir="0" w14:sx="0" w14:sy="0" w14:kx="0" w14:ky="0" w14:algn="none">
                  <w14:srgbClr w14:val="000000"/>
                </w14:shadow>
              </w:rPr>
              <w:t>16.03.2015</w:t>
            </w:r>
            <w:r w:rsidRPr="00D51AD6">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sidR="00594E3A">
              <w:rPr>
                <w:rFonts w:ascii="Calibri" w:hAnsi="Calibri" w:cs="Calibri"/>
                <w:b w:val="0"/>
                <w:i w:val="0"/>
                <w:sz w:val="18"/>
                <w:szCs w:val="18"/>
                <w14:shadow w14:blurRad="0" w14:dist="0" w14:dir="0" w14:sx="0" w14:sy="0" w14:kx="0" w14:ky="0" w14:algn="none">
                  <w14:srgbClr w14:val="000000"/>
                </w14:shadow>
              </w:rPr>
              <w:tab/>
            </w:r>
            <w:r w:rsidR="00594E3A">
              <w:rPr>
                <w:rFonts w:ascii="Calibri" w:hAnsi="Calibri" w:cs="Calibri"/>
                <w:b w:val="0"/>
                <w:i w:val="0"/>
                <w:sz w:val="18"/>
                <w:szCs w:val="18"/>
                <w14:shadow w14:blurRad="0" w14:dist="0" w14:dir="0" w14:sx="0" w14:sy="0" w14:kx="0" w14:ky="0" w14:algn="none">
                  <w14:srgbClr w14:val="000000"/>
                </w14:shadow>
              </w:rPr>
              <w:tab/>
            </w:r>
            <w:r w:rsidR="00594E3A">
              <w:rPr>
                <w:rFonts w:ascii="Calibri" w:hAnsi="Calibri" w:cs="Calibri"/>
                <w:b w:val="0"/>
                <w:i w:val="0"/>
                <w:sz w:val="18"/>
                <w:szCs w:val="18"/>
                <w14:shadow w14:blurRad="0" w14:dist="0" w14:dir="0" w14:sx="0" w14:sy="0" w14:kx="0" w14:ky="0" w14:algn="none">
                  <w14:srgbClr w14:val="000000"/>
                </w14:shadow>
              </w:rPr>
              <w:tab/>
            </w:r>
            <w:r w:rsidR="00594E3A">
              <w:rPr>
                <w:rFonts w:ascii="Calibri" w:hAnsi="Calibri" w:cs="Calibri"/>
                <w:b w:val="0"/>
                <w:i w:val="0"/>
                <w:sz w:val="18"/>
                <w:szCs w:val="18"/>
                <w14:shadow w14:blurRad="0" w14:dist="0" w14:dir="0" w14:sx="0" w14:sy="0" w14:kx="0" w14:ky="0" w14:algn="none">
                  <w14:srgbClr w14:val="000000"/>
                </w14:shadow>
              </w:rPr>
              <w:tab/>
              <w:t xml:space="preserve">                                              </w:t>
            </w:r>
            <w:bookmarkStart w:id="0" w:name="_GoBack"/>
            <w:bookmarkEnd w:id="0"/>
            <w:r w:rsidR="00594E3A" w:rsidRPr="00D51AD6">
              <w:rPr>
                <w:rFonts w:ascii="Calibri" w:hAnsi="Calibri" w:cs="Calibri"/>
                <w:b w:val="0"/>
                <w:i w:val="0"/>
                <w:sz w:val="18"/>
                <w:szCs w:val="18"/>
                <w14:shadow w14:blurRad="0" w14:dist="0" w14:dir="0" w14:sx="0" w14:sy="0" w14:kx="0" w14:ky="0" w14:algn="none">
                  <w14:srgbClr w14:val="000000"/>
                </w14:shadow>
              </w:rPr>
              <w:fldChar w:fldCharType="begin"/>
            </w:r>
            <w:r w:rsidR="00594E3A" w:rsidRPr="00D51AD6">
              <w:rPr>
                <w:rFonts w:ascii="Calibri" w:hAnsi="Calibri" w:cs="Calibri"/>
                <w:b w:val="0"/>
                <w:i w:val="0"/>
                <w:sz w:val="18"/>
                <w:szCs w:val="18"/>
                <w14:shadow w14:blurRad="0" w14:dist="0" w14:dir="0" w14:sx="0" w14:sy="0" w14:kx="0" w14:ky="0" w14:algn="none">
                  <w14:srgbClr w14:val="000000"/>
                </w14:shadow>
              </w:rPr>
              <w:instrText xml:space="preserve"> PAGE </w:instrText>
            </w:r>
            <w:r w:rsidR="00594E3A" w:rsidRPr="00D51AD6">
              <w:rPr>
                <w:rFonts w:ascii="Calibri" w:hAnsi="Calibri" w:cs="Calibri"/>
                <w:b w:val="0"/>
                <w:i w:val="0"/>
                <w:sz w:val="18"/>
                <w:szCs w:val="18"/>
                <w14:shadow w14:blurRad="0" w14:dist="0" w14:dir="0" w14:sx="0" w14:sy="0" w14:kx="0" w14:ky="0" w14:algn="none">
                  <w14:srgbClr w14:val="000000"/>
                </w14:shadow>
              </w:rPr>
              <w:fldChar w:fldCharType="separate"/>
            </w:r>
            <w:r w:rsidR="00594E3A">
              <w:rPr>
                <w:rFonts w:ascii="Calibri" w:hAnsi="Calibri" w:cs="Calibri"/>
                <w:b w:val="0"/>
                <w:i w:val="0"/>
                <w:noProof/>
                <w:sz w:val="18"/>
                <w:szCs w:val="18"/>
                <w14:shadow w14:blurRad="0" w14:dist="0" w14:dir="0" w14:sx="0" w14:sy="0" w14:kx="0" w14:ky="0" w14:algn="none">
                  <w14:srgbClr w14:val="000000"/>
                </w14:shadow>
              </w:rPr>
              <w:t>1</w:t>
            </w:r>
            <w:r w:rsidR="00594E3A" w:rsidRPr="00D51AD6">
              <w:rPr>
                <w:rFonts w:ascii="Calibri" w:hAnsi="Calibri" w:cs="Calibri"/>
                <w:b w:val="0"/>
                <w:i w:val="0"/>
                <w:sz w:val="18"/>
                <w:szCs w:val="18"/>
                <w14:shadow w14:blurRad="0" w14:dist="0" w14:dir="0" w14:sx="0" w14:sy="0" w14:kx="0" w14:ky="0" w14:algn="none">
                  <w14:srgbClr w14:val="000000"/>
                </w14:shadow>
              </w:rPr>
              <w:fldChar w:fldCharType="end"/>
            </w:r>
            <w:r w:rsidR="00594E3A" w:rsidRPr="00D51AD6">
              <w:rPr>
                <w:rFonts w:ascii="Calibri" w:hAnsi="Calibri" w:cs="Calibri"/>
                <w:b w:val="0"/>
                <w:i w:val="0"/>
                <w:sz w:val="18"/>
                <w:szCs w:val="18"/>
                <w14:shadow w14:blurRad="0" w14:dist="0" w14:dir="0" w14:sx="0" w14:sy="0" w14:kx="0" w14:ky="0" w14:algn="none">
                  <w14:srgbClr w14:val="000000"/>
                </w14:shadow>
              </w:rPr>
              <w:t>/</w:t>
            </w:r>
            <w:r w:rsidR="00594E3A" w:rsidRPr="00D51AD6">
              <w:rPr>
                <w:rFonts w:ascii="Calibri" w:hAnsi="Calibri" w:cs="Calibri"/>
                <w:b w:val="0"/>
                <w:i w:val="0"/>
                <w:sz w:val="18"/>
                <w:szCs w:val="18"/>
                <w14:shadow w14:blurRad="0" w14:dist="0" w14:dir="0" w14:sx="0" w14:sy="0" w14:kx="0" w14:ky="0" w14:algn="none">
                  <w14:srgbClr w14:val="000000"/>
                </w14:shadow>
              </w:rPr>
              <w:fldChar w:fldCharType="begin"/>
            </w:r>
            <w:r w:rsidR="00594E3A" w:rsidRPr="00D51AD6">
              <w:rPr>
                <w:rFonts w:ascii="Calibri" w:hAnsi="Calibri" w:cs="Calibri"/>
                <w:b w:val="0"/>
                <w:i w:val="0"/>
                <w:sz w:val="18"/>
                <w:szCs w:val="18"/>
                <w14:shadow w14:blurRad="0" w14:dist="0" w14:dir="0" w14:sx="0" w14:sy="0" w14:kx="0" w14:ky="0" w14:algn="none">
                  <w14:srgbClr w14:val="000000"/>
                </w14:shadow>
              </w:rPr>
              <w:instrText xml:space="preserve"> NUMPAGES  </w:instrText>
            </w:r>
            <w:r w:rsidR="00594E3A" w:rsidRPr="00D51AD6">
              <w:rPr>
                <w:rFonts w:ascii="Calibri" w:hAnsi="Calibri" w:cs="Calibri"/>
                <w:b w:val="0"/>
                <w:i w:val="0"/>
                <w:sz w:val="18"/>
                <w:szCs w:val="18"/>
                <w14:shadow w14:blurRad="0" w14:dist="0" w14:dir="0" w14:sx="0" w14:sy="0" w14:kx="0" w14:ky="0" w14:algn="none">
                  <w14:srgbClr w14:val="000000"/>
                </w14:shadow>
              </w:rPr>
              <w:fldChar w:fldCharType="separate"/>
            </w:r>
            <w:r w:rsidR="00594E3A">
              <w:rPr>
                <w:rFonts w:ascii="Calibri" w:hAnsi="Calibri" w:cs="Calibri"/>
                <w:b w:val="0"/>
                <w:i w:val="0"/>
                <w:noProof/>
                <w:sz w:val="18"/>
                <w:szCs w:val="18"/>
                <w14:shadow w14:blurRad="0" w14:dist="0" w14:dir="0" w14:sx="0" w14:sy="0" w14:kx="0" w14:ky="0" w14:algn="none">
                  <w14:srgbClr w14:val="000000"/>
                </w14:shadow>
              </w:rPr>
              <w:t>2</w:t>
            </w:r>
            <w:r w:rsidR="00594E3A" w:rsidRPr="00D51AD6">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99" w:rsidRDefault="00F51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6D" w:rsidRDefault="000D236D" w:rsidP="00390603">
      <w:r>
        <w:separator/>
      </w:r>
    </w:p>
  </w:footnote>
  <w:footnote w:type="continuationSeparator" w:id="0">
    <w:p w:rsidR="000D236D" w:rsidRDefault="000D236D" w:rsidP="0039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99" w:rsidRDefault="00F51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3B69FD" w:rsidRPr="006164B5" w:rsidTr="00BB40F5">
      <w:trPr>
        <w:trHeight w:hRule="exact" w:val="1563"/>
      </w:trPr>
      <w:tc>
        <w:tcPr>
          <w:tcW w:w="1701" w:type="dxa"/>
          <w:tcBorders>
            <w:top w:val="single" w:sz="12" w:space="0" w:color="auto"/>
            <w:left w:val="single" w:sz="12" w:space="0" w:color="auto"/>
            <w:bottom w:val="single" w:sz="6" w:space="0" w:color="auto"/>
            <w:right w:val="nil"/>
          </w:tcBorders>
        </w:tcPr>
        <w:p w:rsidR="003B69FD" w:rsidRPr="006164B5" w:rsidRDefault="003B69FD" w:rsidP="00030E9A">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75225E72" wp14:editId="428E21D7">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top w:val="single" w:sz="12" w:space="0" w:color="auto"/>
            <w:left w:val="nil"/>
            <w:bottom w:val="single" w:sz="6" w:space="0" w:color="auto"/>
            <w:right w:val="single" w:sz="12" w:space="0" w:color="auto"/>
          </w:tcBorders>
        </w:tcPr>
        <w:p w:rsidR="003B69FD" w:rsidRPr="006164B5" w:rsidRDefault="003B69FD" w:rsidP="00F21F3A">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3B69FD" w:rsidRDefault="003B69FD" w:rsidP="00F21F3A">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3B69FD" w:rsidRPr="00813C9B" w:rsidRDefault="003B69FD" w:rsidP="00813C9B">
          <w:pPr>
            <w:pStyle w:val="Telefon"/>
            <w:spacing w:after="0"/>
            <w:ind w:left="-1667"/>
            <w:rPr>
              <w:rFonts w:ascii="Calibri" w:hAnsi="Calibri" w:cs="Calibri"/>
              <w:b/>
              <w:sz w:val="24"/>
            </w:rPr>
          </w:pPr>
          <w:r w:rsidRPr="00813C9B">
            <w:rPr>
              <w:rFonts w:ascii="Calibri" w:hAnsi="Calibri" w:cs="Calibri"/>
              <w:b/>
              <w:sz w:val="24"/>
            </w:rPr>
            <w:t xml:space="preserve">MOLEKÜLER BİYOLOJİ VE BİYOTEKNOLOJİ AR-GE MERKEZİ </w:t>
          </w:r>
        </w:p>
        <w:p w:rsidR="003B69FD" w:rsidRPr="00BB40F5" w:rsidRDefault="003B69FD" w:rsidP="00F21F3A">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3B69FD" w:rsidRPr="006164B5" w:rsidRDefault="003B69FD" w:rsidP="00E4727D">
          <w:pPr>
            <w:pStyle w:val="Telefon"/>
            <w:spacing w:after="0"/>
            <w:ind w:left="-249"/>
            <w:rPr>
              <w:rFonts w:ascii="Calibri" w:hAnsi="Calibri" w:cs="Calibri"/>
            </w:rPr>
          </w:pPr>
          <w:r w:rsidRPr="006164B5">
            <w:rPr>
              <w:rFonts w:ascii="Calibri" w:hAnsi="Calibri" w:cs="Calibri"/>
              <w:sz w:val="16"/>
              <w:szCs w:val="16"/>
            </w:rPr>
            <w:t>Tel: +90 312 210 64</w:t>
          </w:r>
          <w:r>
            <w:rPr>
              <w:rFonts w:ascii="Calibri" w:hAnsi="Calibri" w:cs="Calibri"/>
              <w:sz w:val="16"/>
              <w:szCs w:val="16"/>
            </w:rPr>
            <w:t xml:space="preserve"> 48</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77</w:t>
          </w:r>
          <w:r w:rsidRPr="006164B5">
            <w:rPr>
              <w:rFonts w:ascii="Calibri" w:hAnsi="Calibri" w:cs="Calibri"/>
              <w:sz w:val="16"/>
              <w:szCs w:val="16"/>
            </w:rPr>
            <w:t xml:space="preserve">   e-posta:</w:t>
          </w:r>
          <w:r>
            <w:rPr>
              <w:rFonts w:ascii="Calibri" w:hAnsi="Calibri" w:cs="Calibri"/>
              <w:sz w:val="16"/>
              <w:szCs w:val="16"/>
            </w:rPr>
            <w:t xml:space="preserve"> </w:t>
          </w:r>
          <w:r w:rsidRPr="006164B5">
            <w:rPr>
              <w:rFonts w:ascii="Calibri" w:hAnsi="Calibri" w:cs="Calibri"/>
              <w:sz w:val="16"/>
              <w:szCs w:val="16"/>
            </w:rPr>
            <w:t>merlab</w:t>
          </w:r>
          <w:r>
            <w:rPr>
              <w:rFonts w:ascii="Calibri" w:hAnsi="Calibri" w:cs="Calibri"/>
              <w:sz w:val="16"/>
              <w:szCs w:val="16"/>
            </w:rPr>
            <w:t>bt</w:t>
          </w:r>
          <w:r w:rsidRPr="006164B5">
            <w:rPr>
              <w:rFonts w:ascii="Calibri" w:hAnsi="Calibri" w:cs="Calibri"/>
              <w:sz w:val="16"/>
              <w:szCs w:val="16"/>
            </w:rPr>
            <w:t>@metu.edu.tr</w:t>
          </w:r>
          <w:r>
            <w:rPr>
              <w:rFonts w:ascii="Calibri" w:hAnsi="Calibri" w:cs="Calibri"/>
              <w:sz w:val="16"/>
              <w:szCs w:val="16"/>
            </w:rPr>
            <w:t xml:space="preserve"> </w:t>
          </w:r>
          <w:r w:rsidRPr="006164B5">
            <w:rPr>
              <w:rFonts w:ascii="Calibri" w:hAnsi="Calibri" w:cs="Calibri"/>
              <w:sz w:val="16"/>
              <w:szCs w:val="16"/>
            </w:rPr>
            <w:t xml:space="preserve"> http://www.merlab.odtu.edu.tr</w:t>
          </w:r>
        </w:p>
      </w:tc>
    </w:tr>
    <w:tr w:rsidR="003B69FD" w:rsidRPr="006164B5" w:rsidTr="00BA3401">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3B69FD" w:rsidRPr="00266430" w:rsidRDefault="00F748E4" w:rsidP="00F748E4">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Pr>
              <w:rFonts w:ascii="Calibri" w:hAnsi="Calibri" w:cs="Calibri"/>
              <w:i w:val="0"/>
              <w:sz w:val="28"/>
              <w:szCs w:val="28"/>
              <w14:shadow w14:blurRad="0" w14:dist="0" w14:dir="0" w14:sx="0" w14:sy="0" w14:kx="0" w14:ky="0" w14:algn="none">
                <w14:srgbClr w14:val="000000"/>
              </w14:shadow>
            </w:rPr>
            <w:t>Genom Analiz</w:t>
          </w:r>
          <w:r w:rsidR="002B5B4A" w:rsidRPr="008E5F2F">
            <w:rPr>
              <w:rFonts w:ascii="Calibri" w:hAnsi="Calibri" w:cs="Calibri"/>
              <w:i w:val="0"/>
              <w:sz w:val="28"/>
              <w:szCs w:val="28"/>
              <w14:shadow w14:blurRad="0" w14:dist="0" w14:dir="0" w14:sx="0" w14:sy="0" w14:kx="0" w14:ky="0" w14:algn="none">
                <w14:srgbClr w14:val="000000"/>
              </w14:shadow>
            </w:rPr>
            <w:t xml:space="preserve"> </w:t>
          </w:r>
          <w:r w:rsidR="00266430" w:rsidRPr="008E5F2F">
            <w:rPr>
              <w:rFonts w:ascii="Calibri" w:hAnsi="Calibri" w:cs="Calibri"/>
              <w:i w:val="0"/>
              <w:sz w:val="28"/>
              <w:szCs w:val="28"/>
              <w14:shadow w14:blurRad="0" w14:dist="0" w14:dir="0" w14:sx="0" w14:sy="0" w14:kx="0" w14:ky="0" w14:algn="none">
                <w14:srgbClr w14:val="000000"/>
              </w14:shadow>
            </w:rPr>
            <w:t xml:space="preserve">Laboratuvarı </w:t>
          </w:r>
          <w:r>
            <w:rPr>
              <w:rFonts w:ascii="Calibri" w:hAnsi="Calibri" w:cs="Calibri"/>
              <w:i w:val="0"/>
              <w:sz w:val="28"/>
              <w:szCs w:val="28"/>
              <w14:shadow w14:blurRad="0" w14:dist="0" w14:dir="0" w14:sx="0" w14:sy="0" w14:kx="0" w14:ky="0" w14:algn="none">
                <w14:srgbClr w14:val="000000"/>
              </w14:shadow>
            </w:rPr>
            <w:t>Gerçek Zamanlı PCR</w:t>
          </w:r>
          <w:r w:rsidR="00266430" w:rsidRPr="008E5F2F">
            <w:rPr>
              <w:rFonts w:ascii="Calibri" w:hAnsi="Calibri" w:cs="Calibri"/>
              <w:i w:val="0"/>
              <w:sz w:val="28"/>
              <w:szCs w:val="28"/>
              <w14:shadow w14:blurRad="0" w14:dist="0" w14:dir="0" w14:sx="0" w14:sy="0" w14:kx="0" w14:ky="0" w14:algn="none">
                <w14:srgbClr w14:val="000000"/>
              </w14:shadow>
            </w:rPr>
            <w:t xml:space="preserve"> Numune Kabul Kriterleri</w:t>
          </w:r>
        </w:p>
      </w:tc>
    </w:tr>
  </w:tbl>
  <w:p w:rsidR="003B69FD" w:rsidRPr="00030E9A" w:rsidRDefault="003B69FD" w:rsidP="00BA3401">
    <w:pPr>
      <w:pStyle w:val="Header"/>
      <w:rPr>
        <w:rFonts w:asciiTheme="minorHAnsi" w:hAnsiTheme="minorHAnsi" w:cstheme="minorHAns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99" w:rsidRDefault="00F51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420B90"/>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9D4763"/>
    <w:multiLevelType w:val="hybridMultilevel"/>
    <w:tmpl w:val="C712AD0C"/>
    <w:lvl w:ilvl="0" w:tplc="1988EF9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65653C"/>
    <w:multiLevelType w:val="hybridMultilevel"/>
    <w:tmpl w:val="B23E7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A24061"/>
    <w:multiLevelType w:val="hybridMultilevel"/>
    <w:tmpl w:val="B23E7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4580D0C"/>
    <w:multiLevelType w:val="hybridMultilevel"/>
    <w:tmpl w:val="E8721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6442CFB"/>
    <w:multiLevelType w:val="hybridMultilevel"/>
    <w:tmpl w:val="B792E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BF724A2"/>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E5916DD"/>
    <w:multiLevelType w:val="hybridMultilevel"/>
    <w:tmpl w:val="7DA8F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9A90C1C"/>
    <w:multiLevelType w:val="hybridMultilevel"/>
    <w:tmpl w:val="8F5C3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484CAD"/>
    <w:multiLevelType w:val="hybridMultilevel"/>
    <w:tmpl w:val="5DF295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12"/>
  </w:num>
  <w:num w:numId="6">
    <w:abstractNumId w:val="6"/>
  </w:num>
  <w:num w:numId="7">
    <w:abstractNumId w:val="11"/>
  </w:num>
  <w:num w:numId="8">
    <w:abstractNumId w:val="7"/>
  </w:num>
  <w:num w:numId="9">
    <w:abstractNumId w:val="10"/>
  </w:num>
  <w:num w:numId="10">
    <w:abstractNumId w:val="4"/>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9A"/>
    <w:rsid w:val="000013BC"/>
    <w:rsid w:val="00002B43"/>
    <w:rsid w:val="00013CC2"/>
    <w:rsid w:val="00014682"/>
    <w:rsid w:val="00016380"/>
    <w:rsid w:val="00030E9A"/>
    <w:rsid w:val="000318D3"/>
    <w:rsid w:val="000405F6"/>
    <w:rsid w:val="00046013"/>
    <w:rsid w:val="00061A1F"/>
    <w:rsid w:val="00071103"/>
    <w:rsid w:val="0007281F"/>
    <w:rsid w:val="00076576"/>
    <w:rsid w:val="00081077"/>
    <w:rsid w:val="000A4F94"/>
    <w:rsid w:val="000C4532"/>
    <w:rsid w:val="000D0018"/>
    <w:rsid w:val="000D236D"/>
    <w:rsid w:val="0010348C"/>
    <w:rsid w:val="00141AF4"/>
    <w:rsid w:val="0014514E"/>
    <w:rsid w:val="00160FB0"/>
    <w:rsid w:val="00184B42"/>
    <w:rsid w:val="001B1F01"/>
    <w:rsid w:val="001B66F7"/>
    <w:rsid w:val="001C4FEA"/>
    <w:rsid w:val="001D0B1E"/>
    <w:rsid w:val="001E759C"/>
    <w:rsid w:val="001F4721"/>
    <w:rsid w:val="001F5D53"/>
    <w:rsid w:val="0020082E"/>
    <w:rsid w:val="00202A25"/>
    <w:rsid w:val="00214B95"/>
    <w:rsid w:val="002600DD"/>
    <w:rsid w:val="00266430"/>
    <w:rsid w:val="00283BEC"/>
    <w:rsid w:val="002A14D3"/>
    <w:rsid w:val="002B01B3"/>
    <w:rsid w:val="002B5B4A"/>
    <w:rsid w:val="003149A4"/>
    <w:rsid w:val="003250A4"/>
    <w:rsid w:val="0033159E"/>
    <w:rsid w:val="003431C0"/>
    <w:rsid w:val="00365F18"/>
    <w:rsid w:val="00390603"/>
    <w:rsid w:val="003A485A"/>
    <w:rsid w:val="003B17A2"/>
    <w:rsid w:val="003B69FD"/>
    <w:rsid w:val="00422DD8"/>
    <w:rsid w:val="00442897"/>
    <w:rsid w:val="004A6F34"/>
    <w:rsid w:val="004B0562"/>
    <w:rsid w:val="004B23EE"/>
    <w:rsid w:val="00505BFB"/>
    <w:rsid w:val="00533339"/>
    <w:rsid w:val="005523E4"/>
    <w:rsid w:val="005808C1"/>
    <w:rsid w:val="00591276"/>
    <w:rsid w:val="00594E3A"/>
    <w:rsid w:val="005C0DA5"/>
    <w:rsid w:val="005E09AF"/>
    <w:rsid w:val="005E4992"/>
    <w:rsid w:val="0060505A"/>
    <w:rsid w:val="006164B5"/>
    <w:rsid w:val="006419F8"/>
    <w:rsid w:val="00655B69"/>
    <w:rsid w:val="006A126E"/>
    <w:rsid w:val="006A6CBE"/>
    <w:rsid w:val="006F136F"/>
    <w:rsid w:val="00710EB9"/>
    <w:rsid w:val="0072688F"/>
    <w:rsid w:val="00771001"/>
    <w:rsid w:val="00777193"/>
    <w:rsid w:val="0078782A"/>
    <w:rsid w:val="00796535"/>
    <w:rsid w:val="007A4179"/>
    <w:rsid w:val="007B0116"/>
    <w:rsid w:val="007D13A7"/>
    <w:rsid w:val="007D3D0F"/>
    <w:rsid w:val="007D4C4A"/>
    <w:rsid w:val="007E2745"/>
    <w:rsid w:val="007F7CDD"/>
    <w:rsid w:val="008107F2"/>
    <w:rsid w:val="00813C9B"/>
    <w:rsid w:val="0084760C"/>
    <w:rsid w:val="0085604E"/>
    <w:rsid w:val="0086069A"/>
    <w:rsid w:val="0087459B"/>
    <w:rsid w:val="0087593B"/>
    <w:rsid w:val="0088125E"/>
    <w:rsid w:val="00893299"/>
    <w:rsid w:val="008A5957"/>
    <w:rsid w:val="008A7A08"/>
    <w:rsid w:val="008C3AB9"/>
    <w:rsid w:val="008E5F2F"/>
    <w:rsid w:val="00916ECC"/>
    <w:rsid w:val="00923B13"/>
    <w:rsid w:val="00931067"/>
    <w:rsid w:val="00942533"/>
    <w:rsid w:val="009458F4"/>
    <w:rsid w:val="00961243"/>
    <w:rsid w:val="009E4DFC"/>
    <w:rsid w:val="00A023AA"/>
    <w:rsid w:val="00A04E39"/>
    <w:rsid w:val="00A2063E"/>
    <w:rsid w:val="00A21C87"/>
    <w:rsid w:val="00A27CAF"/>
    <w:rsid w:val="00A72A19"/>
    <w:rsid w:val="00AC787C"/>
    <w:rsid w:val="00B00746"/>
    <w:rsid w:val="00B074B3"/>
    <w:rsid w:val="00B16262"/>
    <w:rsid w:val="00B26E70"/>
    <w:rsid w:val="00B540A2"/>
    <w:rsid w:val="00B55A71"/>
    <w:rsid w:val="00B71B36"/>
    <w:rsid w:val="00B72FDB"/>
    <w:rsid w:val="00BA27E1"/>
    <w:rsid w:val="00BA3401"/>
    <w:rsid w:val="00BB40F5"/>
    <w:rsid w:val="00BD69B9"/>
    <w:rsid w:val="00BE2F2A"/>
    <w:rsid w:val="00BE51C5"/>
    <w:rsid w:val="00BF06AE"/>
    <w:rsid w:val="00C242A2"/>
    <w:rsid w:val="00C45033"/>
    <w:rsid w:val="00C65842"/>
    <w:rsid w:val="00CA7718"/>
    <w:rsid w:val="00CB548E"/>
    <w:rsid w:val="00D02A06"/>
    <w:rsid w:val="00D166F8"/>
    <w:rsid w:val="00D27DC6"/>
    <w:rsid w:val="00D4044A"/>
    <w:rsid w:val="00D51AD6"/>
    <w:rsid w:val="00D6707F"/>
    <w:rsid w:val="00D8781F"/>
    <w:rsid w:val="00DA21E8"/>
    <w:rsid w:val="00DC3D16"/>
    <w:rsid w:val="00DE21D9"/>
    <w:rsid w:val="00DF0B96"/>
    <w:rsid w:val="00E4727D"/>
    <w:rsid w:val="00E76175"/>
    <w:rsid w:val="00E84044"/>
    <w:rsid w:val="00E90EEA"/>
    <w:rsid w:val="00EA6EBF"/>
    <w:rsid w:val="00EC043C"/>
    <w:rsid w:val="00EC0E11"/>
    <w:rsid w:val="00EC199E"/>
    <w:rsid w:val="00ED558C"/>
    <w:rsid w:val="00EF6AB5"/>
    <w:rsid w:val="00F21F3A"/>
    <w:rsid w:val="00F42AA0"/>
    <w:rsid w:val="00F51599"/>
    <w:rsid w:val="00F748E4"/>
    <w:rsid w:val="00F77360"/>
    <w:rsid w:val="00FC3B0E"/>
    <w:rsid w:val="00FC5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labgen@metu.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C1DD-72F9-4BA5-967E-8C2A4FD4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3035</CharactersWithSpaces>
  <SharedDoc>false</SharedDoc>
  <HLinks>
    <vt:vector size="12" baseType="variant">
      <vt:variant>
        <vt:i4>262224</vt:i4>
      </vt:variant>
      <vt:variant>
        <vt:i4>27</vt:i4>
      </vt:variant>
      <vt:variant>
        <vt:i4>0</vt:i4>
      </vt:variant>
      <vt:variant>
        <vt:i4>5</vt:i4>
      </vt:variant>
      <vt:variant>
        <vt:lpwstr>http://www.xxxx/</vt:lpwstr>
      </vt:variant>
      <vt:variant>
        <vt:lpwstr/>
      </vt:variant>
      <vt:variant>
        <vt:i4>2949159</vt:i4>
      </vt:variant>
      <vt:variant>
        <vt:i4>3</vt:i4>
      </vt:variant>
      <vt:variant>
        <vt:i4>0</vt:i4>
      </vt:variant>
      <vt:variant>
        <vt:i4>5</vt:i4>
      </vt:variant>
      <vt:variant>
        <vt:lpwstr>http://www.merkezilab.odtu.edu.tr/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MERLAB Kalite Birimi</dc:creator>
  <cp:lastModifiedBy>Kalite Birimi 2</cp:lastModifiedBy>
  <cp:revision>5</cp:revision>
  <cp:lastPrinted>2012-01-02T11:17:00Z</cp:lastPrinted>
  <dcterms:created xsi:type="dcterms:W3CDTF">2012-01-17T15:06:00Z</dcterms:created>
  <dcterms:modified xsi:type="dcterms:W3CDTF">2015-03-10T13:19:00Z</dcterms:modified>
</cp:coreProperties>
</file>